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D0363" w14:textId="77777777" w:rsidR="00A51A09" w:rsidRDefault="00A51A09" w:rsidP="00762325">
      <w:pPr>
        <w:ind w:right="157"/>
        <w:jc w:val="right"/>
        <w:rPr>
          <w:rFonts w:ascii="Arial" w:hAnsi="Arial" w:cs="Arial"/>
          <w:b/>
          <w:bCs/>
          <w:color w:val="00BFB3"/>
          <w:sz w:val="24"/>
          <w:szCs w:val="24"/>
        </w:rPr>
      </w:pPr>
    </w:p>
    <w:p w14:paraId="45374FBA" w14:textId="77777777" w:rsidR="001F329D" w:rsidRPr="00DF2C99" w:rsidRDefault="001F329D" w:rsidP="00762325">
      <w:pPr>
        <w:ind w:right="157"/>
        <w:jc w:val="right"/>
        <w:rPr>
          <w:rFonts w:ascii="Arial" w:hAnsi="Arial" w:cs="Arial"/>
          <w:b/>
          <w:bCs/>
          <w:color w:val="00BFB3"/>
          <w:sz w:val="24"/>
          <w:szCs w:val="24"/>
        </w:rPr>
      </w:pPr>
    </w:p>
    <w:p w14:paraId="677364F7" w14:textId="098B69FA" w:rsidR="00EF78BD" w:rsidRPr="00DF2C99" w:rsidRDefault="00EF78BD" w:rsidP="00DF2C99">
      <w:pPr>
        <w:pStyle w:val="Prrafodelista"/>
        <w:spacing w:after="0" w:line="240" w:lineRule="auto"/>
        <w:ind w:left="0" w:right="51"/>
        <w:jc w:val="center"/>
        <w:rPr>
          <w:rFonts w:ascii="Arial Negrita" w:hAnsi="Arial Negrita"/>
          <w:b/>
          <w:bCs/>
          <w:sz w:val="24"/>
          <w:szCs w:val="24"/>
        </w:rPr>
      </w:pPr>
      <w:r w:rsidRPr="00DF2C99">
        <w:rPr>
          <w:rFonts w:ascii="Arial Negrita" w:hAnsi="Arial Negrita"/>
          <w:b/>
          <w:bCs/>
          <w:sz w:val="24"/>
          <w:szCs w:val="24"/>
        </w:rPr>
        <w:t xml:space="preserve"> En 202</w:t>
      </w:r>
      <w:r w:rsidR="00823317">
        <w:rPr>
          <w:rFonts w:ascii="Arial Negrita" w:hAnsi="Arial Negrita"/>
          <w:b/>
          <w:bCs/>
          <w:sz w:val="24"/>
          <w:szCs w:val="24"/>
        </w:rPr>
        <w:t>4</w:t>
      </w:r>
      <w:r w:rsidRPr="00DF2C99">
        <w:rPr>
          <w:rFonts w:ascii="Arial Negrita" w:hAnsi="Arial Negrita"/>
          <w:b/>
          <w:bCs/>
          <w:sz w:val="24"/>
          <w:szCs w:val="24"/>
        </w:rPr>
        <w:t xml:space="preserve">, </w:t>
      </w:r>
      <w:r w:rsidR="00823317">
        <w:rPr>
          <w:rFonts w:ascii="Arial Negrita" w:hAnsi="Arial Negrita"/>
          <w:b/>
          <w:bCs/>
          <w:sz w:val="24"/>
          <w:szCs w:val="24"/>
        </w:rPr>
        <w:t>el sector de la cultura contribuyó con 2.8</w:t>
      </w:r>
      <w:r w:rsidR="00816B3F">
        <w:rPr>
          <w:rFonts w:ascii="Arial Negrita" w:hAnsi="Arial Negrita"/>
          <w:b/>
          <w:bCs/>
          <w:sz w:val="24"/>
          <w:szCs w:val="24"/>
        </w:rPr>
        <w:t> </w:t>
      </w:r>
      <w:r w:rsidR="00823317">
        <w:rPr>
          <w:rFonts w:ascii="Arial Negrita" w:hAnsi="Arial Negrita"/>
          <w:b/>
          <w:bCs/>
          <w:sz w:val="24"/>
          <w:szCs w:val="24"/>
        </w:rPr>
        <w:t>% del total de la economía</w:t>
      </w:r>
    </w:p>
    <w:p w14:paraId="0F7E5EE1" w14:textId="77777777" w:rsidR="00EF78BD" w:rsidRDefault="00EF78BD" w:rsidP="00DF2C99">
      <w:pPr>
        <w:pStyle w:val="Prrafodelista"/>
        <w:spacing w:after="0" w:line="240" w:lineRule="auto"/>
        <w:ind w:left="0" w:right="51"/>
        <w:jc w:val="center"/>
        <w:rPr>
          <w:rFonts w:ascii="Arial" w:hAnsi="Arial"/>
          <w:sz w:val="24"/>
          <w:szCs w:val="24"/>
        </w:rPr>
      </w:pPr>
    </w:p>
    <w:p w14:paraId="7C88F7FC" w14:textId="3E70BC34" w:rsidR="00797204" w:rsidRPr="00797204" w:rsidRDefault="00797204" w:rsidP="000B23D2">
      <w:pPr>
        <w:pStyle w:val="Prrafodelista"/>
        <w:numPr>
          <w:ilvl w:val="0"/>
          <w:numId w:val="28"/>
        </w:numPr>
        <w:spacing w:before="120" w:after="120" w:line="240" w:lineRule="auto"/>
        <w:ind w:left="714" w:right="387" w:hanging="357"/>
        <w:contextualSpacing w:val="0"/>
        <w:jc w:val="both"/>
        <w:rPr>
          <w:rFonts w:ascii="Arial" w:hAnsi="Arial"/>
          <w:sz w:val="24"/>
          <w:szCs w:val="24"/>
        </w:rPr>
      </w:pPr>
      <w:r w:rsidRPr="00797204">
        <w:rPr>
          <w:rFonts w:ascii="Arial" w:hAnsi="Arial"/>
          <w:sz w:val="24"/>
          <w:szCs w:val="24"/>
        </w:rPr>
        <w:t>El sector de la cultura contribuyó con un monto de 865</w:t>
      </w:r>
      <w:r w:rsidR="000778A1">
        <w:rPr>
          <w:rFonts w:ascii="Arial" w:hAnsi="Arial"/>
          <w:sz w:val="24"/>
          <w:szCs w:val="24"/>
        </w:rPr>
        <w:t> </w:t>
      </w:r>
      <w:r w:rsidRPr="00797204">
        <w:rPr>
          <w:rFonts w:ascii="Arial" w:hAnsi="Arial"/>
          <w:sz w:val="24"/>
          <w:szCs w:val="24"/>
        </w:rPr>
        <w:t xml:space="preserve">682 millones de pesos al </w:t>
      </w:r>
      <w:r w:rsidR="00823317">
        <w:rPr>
          <w:rFonts w:ascii="Arial" w:hAnsi="Arial"/>
          <w:smallCaps/>
          <w:sz w:val="24"/>
          <w:szCs w:val="24"/>
        </w:rPr>
        <w:t>pib</w:t>
      </w:r>
      <w:r w:rsidRPr="00797204">
        <w:rPr>
          <w:rFonts w:ascii="Arial" w:hAnsi="Arial"/>
          <w:sz w:val="24"/>
          <w:szCs w:val="24"/>
        </w:rPr>
        <w:t>,</w:t>
      </w:r>
      <w:r w:rsidR="00823317">
        <w:rPr>
          <w:rStyle w:val="Refdenotaalpie"/>
          <w:rFonts w:ascii="Arial" w:hAnsi="Arial"/>
          <w:sz w:val="24"/>
          <w:szCs w:val="24"/>
        </w:rPr>
        <w:footnoteReference w:id="2"/>
      </w:r>
      <w:r w:rsidRPr="00797204">
        <w:rPr>
          <w:rFonts w:ascii="Arial" w:hAnsi="Arial"/>
          <w:sz w:val="24"/>
          <w:szCs w:val="24"/>
        </w:rPr>
        <w:t xml:space="preserve"> del total de la economía</w:t>
      </w:r>
      <w:r w:rsidR="009968E0">
        <w:rPr>
          <w:rFonts w:ascii="Arial" w:hAnsi="Arial"/>
          <w:sz w:val="24"/>
          <w:szCs w:val="24"/>
        </w:rPr>
        <w:t>.</w:t>
      </w:r>
    </w:p>
    <w:p w14:paraId="2D9E76F5" w14:textId="05F0F9A6" w:rsidR="00797204" w:rsidRPr="00797204" w:rsidRDefault="00797204" w:rsidP="000B23D2">
      <w:pPr>
        <w:pStyle w:val="Prrafodelista"/>
        <w:numPr>
          <w:ilvl w:val="0"/>
          <w:numId w:val="28"/>
        </w:numPr>
        <w:spacing w:before="120" w:after="120" w:line="240" w:lineRule="auto"/>
        <w:ind w:left="714" w:right="387" w:hanging="357"/>
        <w:contextualSpacing w:val="0"/>
        <w:jc w:val="both"/>
        <w:rPr>
          <w:rFonts w:ascii="Arial" w:hAnsi="Arial"/>
          <w:sz w:val="24"/>
          <w:szCs w:val="24"/>
        </w:rPr>
      </w:pPr>
      <w:r w:rsidRPr="00797204">
        <w:rPr>
          <w:rFonts w:ascii="Arial" w:hAnsi="Arial"/>
          <w:sz w:val="24"/>
          <w:szCs w:val="24"/>
        </w:rPr>
        <w:t>En precios constantes,</w:t>
      </w:r>
      <w:r w:rsidR="00823317">
        <w:rPr>
          <w:rStyle w:val="Refdenotaalpie"/>
          <w:rFonts w:ascii="Arial" w:hAnsi="Arial"/>
          <w:sz w:val="24"/>
          <w:szCs w:val="24"/>
        </w:rPr>
        <w:footnoteReference w:id="3"/>
      </w:r>
      <w:r w:rsidRPr="00797204">
        <w:rPr>
          <w:rFonts w:ascii="Arial" w:hAnsi="Arial"/>
          <w:sz w:val="24"/>
          <w:szCs w:val="24"/>
        </w:rPr>
        <w:t xml:space="preserve"> este sector creció 1.2</w:t>
      </w:r>
      <w:r w:rsidR="009968E0">
        <w:rPr>
          <w:rFonts w:ascii="Arial" w:hAnsi="Arial"/>
          <w:sz w:val="24"/>
          <w:szCs w:val="24"/>
        </w:rPr>
        <w:t> </w:t>
      </w:r>
      <w:r w:rsidRPr="00797204">
        <w:rPr>
          <w:rFonts w:ascii="Arial" w:hAnsi="Arial"/>
          <w:sz w:val="24"/>
          <w:szCs w:val="24"/>
        </w:rPr>
        <w:t>% respecto a</w:t>
      </w:r>
      <w:r w:rsidR="00406CA9">
        <w:rPr>
          <w:rFonts w:ascii="Arial" w:hAnsi="Arial"/>
          <w:sz w:val="24"/>
          <w:szCs w:val="24"/>
        </w:rPr>
        <w:t xml:space="preserve"> 2023.</w:t>
      </w:r>
      <w:r w:rsidRPr="00797204">
        <w:rPr>
          <w:rFonts w:ascii="Arial" w:hAnsi="Arial"/>
          <w:sz w:val="24"/>
          <w:szCs w:val="24"/>
        </w:rPr>
        <w:t xml:space="preserve"> </w:t>
      </w:r>
    </w:p>
    <w:p w14:paraId="66A93695" w14:textId="668E4F61" w:rsidR="00827E1F" w:rsidRPr="00797204" w:rsidRDefault="00797204" w:rsidP="000B23D2">
      <w:pPr>
        <w:pStyle w:val="Prrafodelista"/>
        <w:numPr>
          <w:ilvl w:val="0"/>
          <w:numId w:val="28"/>
        </w:numPr>
        <w:spacing w:before="120" w:after="120" w:line="240" w:lineRule="auto"/>
        <w:ind w:left="714" w:right="387" w:hanging="357"/>
        <w:contextualSpacing w:val="0"/>
        <w:jc w:val="both"/>
        <w:rPr>
          <w:rFonts w:ascii="Arial Negrita" w:hAnsi="Arial Negrita"/>
          <w:b/>
          <w:bCs/>
          <w:szCs w:val="28"/>
        </w:rPr>
      </w:pPr>
      <w:r w:rsidRPr="00797204">
        <w:rPr>
          <w:rFonts w:ascii="Arial" w:hAnsi="Arial"/>
          <w:sz w:val="24"/>
          <w:szCs w:val="24"/>
        </w:rPr>
        <w:t>Las actividades económicas del sector de la cultura generaron 1</w:t>
      </w:r>
      <w:r w:rsidR="009968E0">
        <w:rPr>
          <w:rFonts w:ascii="Arial" w:hAnsi="Arial"/>
          <w:sz w:val="24"/>
          <w:szCs w:val="24"/>
        </w:rPr>
        <w:t> </w:t>
      </w:r>
      <w:r w:rsidRPr="00797204">
        <w:rPr>
          <w:rFonts w:ascii="Arial" w:hAnsi="Arial"/>
          <w:sz w:val="24"/>
          <w:szCs w:val="24"/>
        </w:rPr>
        <w:t>430</w:t>
      </w:r>
      <w:r w:rsidR="009968E0">
        <w:rPr>
          <w:rFonts w:ascii="Arial" w:hAnsi="Arial"/>
          <w:sz w:val="24"/>
          <w:szCs w:val="24"/>
        </w:rPr>
        <w:t> </w:t>
      </w:r>
      <w:r w:rsidRPr="00797204">
        <w:rPr>
          <w:rFonts w:ascii="Arial" w:hAnsi="Arial"/>
          <w:sz w:val="24"/>
          <w:szCs w:val="24"/>
        </w:rPr>
        <w:t>528 puestos de trabajo, lo que representó 3.5</w:t>
      </w:r>
      <w:r w:rsidR="009968E0">
        <w:rPr>
          <w:rFonts w:ascii="Arial" w:hAnsi="Arial"/>
          <w:sz w:val="24"/>
          <w:szCs w:val="24"/>
        </w:rPr>
        <w:t> </w:t>
      </w:r>
      <w:r w:rsidRPr="00797204">
        <w:rPr>
          <w:rFonts w:ascii="Arial" w:hAnsi="Arial"/>
          <w:sz w:val="24"/>
          <w:szCs w:val="24"/>
        </w:rPr>
        <w:t>% del total de la economía</w:t>
      </w:r>
      <w:r>
        <w:rPr>
          <w:rFonts w:ascii="Arial" w:hAnsi="Arial"/>
          <w:sz w:val="24"/>
          <w:szCs w:val="24"/>
        </w:rPr>
        <w:t>.</w:t>
      </w:r>
    </w:p>
    <w:p w14:paraId="61DB28C9" w14:textId="77777777" w:rsidR="00827E1F" w:rsidRPr="00FD1780" w:rsidRDefault="00827E1F" w:rsidP="00827E1F">
      <w:pPr>
        <w:pStyle w:val="Prrafodelista"/>
        <w:spacing w:after="0" w:line="240" w:lineRule="auto"/>
        <w:ind w:right="51"/>
        <w:rPr>
          <w:rFonts w:ascii="Arial Negrita" w:hAnsi="Arial Negrita"/>
          <w:b/>
          <w:bCs/>
          <w:sz w:val="24"/>
          <w:szCs w:val="24"/>
        </w:rPr>
      </w:pPr>
    </w:p>
    <w:p w14:paraId="66F93EB2" w14:textId="6E7211E3" w:rsidR="00EF78BD" w:rsidRDefault="00EF78BD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  <w:r w:rsidRPr="00DF2C99">
        <w:rPr>
          <w:rFonts w:ascii="Arial" w:hAnsi="Arial" w:cs="Arial"/>
          <w:bCs/>
          <w:sz w:val="24"/>
          <w:szCs w:val="24"/>
        </w:rPr>
        <w:t xml:space="preserve">El </w:t>
      </w:r>
      <w:r w:rsidR="00797204" w:rsidRPr="00797204">
        <w:rPr>
          <w:rFonts w:ascii="Arial" w:hAnsi="Arial" w:cs="Arial"/>
          <w:bCs/>
          <w:sz w:val="24"/>
          <w:szCs w:val="24"/>
        </w:rPr>
        <w:t>Instituto Nacional de Estadística y Geografía (</w:t>
      </w:r>
      <w:r w:rsidR="00823317">
        <w:rPr>
          <w:rFonts w:ascii="Arial" w:hAnsi="Arial"/>
          <w:smallCaps/>
          <w:sz w:val="24"/>
          <w:szCs w:val="24"/>
        </w:rPr>
        <w:t>inegi</w:t>
      </w:r>
      <w:r w:rsidR="00797204" w:rsidRPr="00797204">
        <w:rPr>
          <w:rFonts w:ascii="Arial" w:hAnsi="Arial" w:cs="Arial"/>
          <w:bCs/>
          <w:sz w:val="24"/>
          <w:szCs w:val="24"/>
        </w:rPr>
        <w:t>) presenta los resultados de la actualización de la Cuenta Satélite de la Cultura de México (</w:t>
      </w:r>
      <w:r w:rsidR="00823317">
        <w:rPr>
          <w:rFonts w:ascii="Arial" w:hAnsi="Arial"/>
          <w:smallCaps/>
          <w:sz w:val="24"/>
          <w:szCs w:val="24"/>
        </w:rPr>
        <w:t>cscm</w:t>
      </w:r>
      <w:r w:rsidR="00797204" w:rsidRPr="00797204">
        <w:rPr>
          <w:rFonts w:ascii="Arial" w:hAnsi="Arial" w:cs="Arial"/>
          <w:bCs/>
          <w:sz w:val="24"/>
          <w:szCs w:val="24"/>
        </w:rPr>
        <w:t xml:space="preserve">) 2024. Estos </w:t>
      </w:r>
      <w:r w:rsidR="008A4F52">
        <w:rPr>
          <w:rFonts w:ascii="Arial" w:hAnsi="Arial" w:cs="Arial"/>
          <w:bCs/>
          <w:sz w:val="24"/>
          <w:szCs w:val="24"/>
        </w:rPr>
        <w:t xml:space="preserve">integran el panorama </w:t>
      </w:r>
      <w:r w:rsidR="00797204" w:rsidRPr="00797204">
        <w:rPr>
          <w:rFonts w:ascii="Arial" w:hAnsi="Arial" w:cs="Arial"/>
          <w:bCs/>
          <w:sz w:val="24"/>
          <w:szCs w:val="24"/>
        </w:rPr>
        <w:t>sobre la dimensión, evolución y composición del sector cultural en México</w:t>
      </w:r>
      <w:r w:rsidR="00FA2147">
        <w:rPr>
          <w:rFonts w:ascii="Arial" w:hAnsi="Arial" w:cs="Arial"/>
          <w:bCs/>
          <w:sz w:val="24"/>
          <w:szCs w:val="24"/>
        </w:rPr>
        <w:t>.</w:t>
      </w:r>
    </w:p>
    <w:p w14:paraId="50FDDD7F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17638D99" w14:textId="3EB9202F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  <w:r w:rsidRPr="00797204">
        <w:rPr>
          <w:rFonts w:ascii="Arial" w:hAnsi="Arial" w:cs="Arial"/>
          <w:bCs/>
          <w:sz w:val="24"/>
          <w:szCs w:val="24"/>
        </w:rPr>
        <w:t xml:space="preserve">Para la elaboración de la </w:t>
      </w:r>
      <w:r w:rsidR="00823317">
        <w:rPr>
          <w:rFonts w:ascii="Arial" w:hAnsi="Arial"/>
          <w:smallCaps/>
          <w:sz w:val="24"/>
          <w:szCs w:val="24"/>
        </w:rPr>
        <w:t>cscm</w:t>
      </w:r>
      <w:r w:rsidRPr="00797204">
        <w:rPr>
          <w:rFonts w:ascii="Arial" w:hAnsi="Arial" w:cs="Arial"/>
          <w:bCs/>
          <w:sz w:val="24"/>
          <w:szCs w:val="24"/>
        </w:rPr>
        <w:t xml:space="preserve"> se consideraron lineamientos y estándares estadísticos internacionales. Estos permiten valorar tanto los bienes y servicios que se producen en el mercado —y que tienen relación con la cultura— como las actividades que se generan desde los hogares y la respectiva gestión pública</w:t>
      </w:r>
      <w:r>
        <w:rPr>
          <w:rFonts w:ascii="Arial" w:hAnsi="Arial" w:cs="Arial"/>
          <w:bCs/>
          <w:sz w:val="24"/>
          <w:szCs w:val="24"/>
        </w:rPr>
        <w:t>.</w:t>
      </w:r>
    </w:p>
    <w:p w14:paraId="45C4C9F2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4A8156F4" w14:textId="0D863844" w:rsidR="00797204" w:rsidRDefault="00797204" w:rsidP="00797204">
      <w:pPr>
        <w:ind w:right="103"/>
        <w:jc w:val="both"/>
        <w:rPr>
          <w:rFonts w:ascii="Arial" w:hAnsi="Arial" w:cs="Arial"/>
          <w:bCs/>
          <w:sz w:val="24"/>
          <w:szCs w:val="24"/>
        </w:rPr>
      </w:pPr>
      <w:r w:rsidRPr="00797204">
        <w:rPr>
          <w:rFonts w:ascii="Arial" w:hAnsi="Arial" w:cs="Arial"/>
          <w:bCs/>
          <w:sz w:val="24"/>
          <w:szCs w:val="24"/>
        </w:rPr>
        <w:t>En 2024, el Producto Interno Bruto (</w:t>
      </w:r>
      <w:r w:rsidR="00823317">
        <w:rPr>
          <w:rFonts w:ascii="Arial" w:hAnsi="Arial"/>
          <w:smallCaps/>
          <w:sz w:val="24"/>
          <w:szCs w:val="24"/>
        </w:rPr>
        <w:t>pib</w:t>
      </w:r>
      <w:r w:rsidRPr="00797204">
        <w:rPr>
          <w:rFonts w:ascii="Arial" w:hAnsi="Arial" w:cs="Arial"/>
          <w:bCs/>
          <w:sz w:val="24"/>
          <w:szCs w:val="24"/>
        </w:rPr>
        <w:t>) del sector de la cultura reportó un monto de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406CA9">
        <w:rPr>
          <w:rFonts w:ascii="Arial" w:hAnsi="Arial" w:cs="Arial"/>
          <w:bCs/>
          <w:sz w:val="24"/>
          <w:szCs w:val="24"/>
        </w:rPr>
        <w:br/>
      </w:r>
      <w:r w:rsidRPr="00797204">
        <w:rPr>
          <w:rFonts w:ascii="Arial" w:hAnsi="Arial" w:cs="Arial"/>
          <w:bCs/>
          <w:sz w:val="24"/>
          <w:szCs w:val="24"/>
        </w:rPr>
        <w:t>865</w:t>
      </w:r>
      <w:r w:rsidR="00BD1BE7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>682 millones de pesos. Esto significó una contribución de 2.8</w:t>
      </w:r>
      <w:r w:rsidR="00851573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 xml:space="preserve">% al </w:t>
      </w:r>
      <w:r w:rsidR="00823317">
        <w:rPr>
          <w:rFonts w:ascii="Arial" w:hAnsi="Arial"/>
          <w:smallCaps/>
          <w:sz w:val="24"/>
          <w:szCs w:val="24"/>
        </w:rPr>
        <w:t>pib</w:t>
      </w:r>
      <w:r w:rsidRPr="00797204">
        <w:rPr>
          <w:rFonts w:ascii="Arial" w:hAnsi="Arial" w:cs="Arial"/>
          <w:bCs/>
          <w:sz w:val="24"/>
          <w:szCs w:val="24"/>
        </w:rPr>
        <w:t xml:space="preserve"> del total de la economía</w:t>
      </w:r>
      <w:r>
        <w:rPr>
          <w:rFonts w:ascii="Arial" w:hAnsi="Arial" w:cs="Arial"/>
          <w:bCs/>
          <w:sz w:val="24"/>
          <w:szCs w:val="24"/>
        </w:rPr>
        <w:t>.</w:t>
      </w:r>
    </w:p>
    <w:p w14:paraId="42659556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11B9179D" w14:textId="18229CA6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  <w:r w:rsidRPr="00797204">
        <w:rPr>
          <w:rFonts w:ascii="Arial" w:hAnsi="Arial" w:cs="Arial"/>
          <w:bCs/>
          <w:sz w:val="24"/>
          <w:szCs w:val="24"/>
        </w:rPr>
        <w:t>Las actividades de mercado —que realizan agentes privados y que generan bienes y servicios culturales con fines de lucro— contribuyeron con 2.21</w:t>
      </w:r>
      <w:r w:rsidR="00A37444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 xml:space="preserve">% del </w:t>
      </w:r>
      <w:r w:rsidR="00823317">
        <w:rPr>
          <w:rFonts w:ascii="Arial" w:hAnsi="Arial"/>
          <w:smallCaps/>
          <w:sz w:val="24"/>
          <w:szCs w:val="24"/>
        </w:rPr>
        <w:t>pib</w:t>
      </w:r>
      <w:r w:rsidR="00823317" w:rsidRPr="00797204">
        <w:rPr>
          <w:rFonts w:ascii="Arial" w:hAnsi="Arial" w:cs="Arial"/>
          <w:bCs/>
          <w:sz w:val="24"/>
          <w:szCs w:val="24"/>
        </w:rPr>
        <w:t xml:space="preserve"> </w:t>
      </w:r>
      <w:r w:rsidRPr="00797204">
        <w:rPr>
          <w:rFonts w:ascii="Arial" w:hAnsi="Arial" w:cs="Arial"/>
          <w:bCs/>
          <w:sz w:val="24"/>
          <w:szCs w:val="24"/>
        </w:rPr>
        <w:t xml:space="preserve">del sector de la cultura; </w:t>
      </w:r>
      <w:r w:rsidR="00DD0776">
        <w:rPr>
          <w:rFonts w:ascii="Arial" w:hAnsi="Arial" w:cs="Arial"/>
          <w:bCs/>
          <w:sz w:val="24"/>
          <w:szCs w:val="24"/>
        </w:rPr>
        <w:br/>
      </w:r>
      <w:r w:rsidRPr="00797204">
        <w:rPr>
          <w:rFonts w:ascii="Arial" w:hAnsi="Arial" w:cs="Arial"/>
          <w:bCs/>
          <w:sz w:val="24"/>
          <w:szCs w:val="24"/>
        </w:rPr>
        <w:t>las relacionadas con los hogares —como trabajo voluntario en la organización de actividades culturales o comercio de productos culturales en la vía pública, entre otras— aportaron 0.38</w:t>
      </w:r>
      <w:r w:rsidR="00A37444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>%; y las de gestión pública —actividades que realizan unidades de gobierno y que contribuyen a facilitar el acceso, la difusión, desarrollo y fortalecimiento de actividades culturales—, con</w:t>
      </w:r>
      <w:r w:rsidR="00A37444">
        <w:rPr>
          <w:rFonts w:ascii="Arial" w:hAnsi="Arial" w:cs="Arial"/>
          <w:bCs/>
          <w:sz w:val="24"/>
          <w:szCs w:val="24"/>
        </w:rPr>
        <w:t xml:space="preserve">  </w:t>
      </w:r>
      <w:r w:rsidRPr="00797204">
        <w:rPr>
          <w:rFonts w:ascii="Arial" w:hAnsi="Arial" w:cs="Arial"/>
          <w:bCs/>
          <w:sz w:val="24"/>
          <w:szCs w:val="24"/>
        </w:rPr>
        <w:t xml:space="preserve"> 0.17 por ciento</w:t>
      </w:r>
      <w:r>
        <w:rPr>
          <w:rFonts w:ascii="Arial" w:hAnsi="Arial" w:cs="Arial"/>
          <w:bCs/>
          <w:sz w:val="24"/>
          <w:szCs w:val="24"/>
        </w:rPr>
        <w:t>.</w:t>
      </w:r>
    </w:p>
    <w:p w14:paraId="3BA71514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25C1CF18" w14:textId="31840314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  <w:r w:rsidRPr="00797204">
        <w:rPr>
          <w:rFonts w:ascii="Arial" w:hAnsi="Arial" w:cs="Arial"/>
          <w:bCs/>
          <w:sz w:val="24"/>
          <w:szCs w:val="24"/>
        </w:rPr>
        <w:t xml:space="preserve">A valores constantes, el </w:t>
      </w:r>
      <w:r w:rsidR="00823317">
        <w:rPr>
          <w:rFonts w:ascii="Arial" w:hAnsi="Arial"/>
          <w:smallCaps/>
          <w:sz w:val="24"/>
          <w:szCs w:val="24"/>
        </w:rPr>
        <w:t>pib</w:t>
      </w:r>
      <w:r w:rsidRPr="00797204">
        <w:rPr>
          <w:rFonts w:ascii="Arial" w:hAnsi="Arial" w:cs="Arial"/>
          <w:bCs/>
          <w:sz w:val="24"/>
          <w:szCs w:val="24"/>
        </w:rPr>
        <w:t xml:space="preserve"> del sector cultural creció 1.2</w:t>
      </w:r>
      <w:r w:rsidR="00C346F7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>%</w:t>
      </w:r>
      <w:r w:rsidR="00C346F7">
        <w:rPr>
          <w:rFonts w:ascii="Arial" w:hAnsi="Arial" w:cs="Arial"/>
          <w:bCs/>
          <w:sz w:val="24"/>
          <w:szCs w:val="24"/>
        </w:rPr>
        <w:t>,</w:t>
      </w:r>
      <w:r w:rsidRPr="00797204">
        <w:rPr>
          <w:rFonts w:ascii="Arial" w:hAnsi="Arial" w:cs="Arial"/>
          <w:bCs/>
          <w:sz w:val="24"/>
          <w:szCs w:val="24"/>
        </w:rPr>
        <w:t xml:space="preserve"> mientras que el total de la economía </w:t>
      </w:r>
      <w:r w:rsidR="00406CA9">
        <w:rPr>
          <w:rFonts w:ascii="Arial" w:hAnsi="Arial" w:cs="Arial"/>
          <w:bCs/>
          <w:sz w:val="24"/>
          <w:szCs w:val="24"/>
        </w:rPr>
        <w:t>aumentó</w:t>
      </w:r>
      <w:r w:rsidRPr="00797204">
        <w:rPr>
          <w:rFonts w:ascii="Arial" w:hAnsi="Arial" w:cs="Arial"/>
          <w:bCs/>
          <w:sz w:val="24"/>
          <w:szCs w:val="24"/>
        </w:rPr>
        <w:t xml:space="preserve"> 1.3 por ciento. De 2008 a 2024, el incremento promedio anual del sector fue de</w:t>
      </w:r>
      <w:r w:rsidR="00C346F7">
        <w:rPr>
          <w:rFonts w:ascii="Arial" w:hAnsi="Arial" w:cs="Arial"/>
          <w:bCs/>
          <w:sz w:val="24"/>
          <w:szCs w:val="24"/>
        </w:rPr>
        <w:t xml:space="preserve"> </w:t>
      </w:r>
      <w:r w:rsidRPr="00797204">
        <w:rPr>
          <w:rFonts w:ascii="Arial" w:hAnsi="Arial" w:cs="Arial"/>
          <w:bCs/>
          <w:sz w:val="24"/>
          <w:szCs w:val="24"/>
        </w:rPr>
        <w:t>0.9</w:t>
      </w:r>
      <w:r w:rsidR="00C346F7">
        <w:rPr>
          <w:rFonts w:ascii="Arial" w:hAnsi="Arial" w:cs="Arial"/>
          <w:bCs/>
          <w:sz w:val="24"/>
          <w:szCs w:val="24"/>
        </w:rPr>
        <w:t> </w:t>
      </w:r>
      <w:r w:rsidR="00406CA9">
        <w:rPr>
          <w:rFonts w:ascii="Arial" w:hAnsi="Arial" w:cs="Arial"/>
          <w:bCs/>
          <w:sz w:val="24"/>
          <w:szCs w:val="24"/>
        </w:rPr>
        <w:t>%</w:t>
      </w:r>
      <w:r w:rsidRPr="00797204">
        <w:rPr>
          <w:rFonts w:ascii="Arial" w:hAnsi="Arial" w:cs="Arial"/>
          <w:bCs/>
          <w:sz w:val="24"/>
          <w:szCs w:val="24"/>
        </w:rPr>
        <w:t xml:space="preserve"> (ver gráfica 1)</w:t>
      </w:r>
      <w:r>
        <w:rPr>
          <w:rFonts w:ascii="Arial" w:hAnsi="Arial" w:cs="Arial"/>
          <w:bCs/>
          <w:sz w:val="24"/>
          <w:szCs w:val="24"/>
        </w:rPr>
        <w:t>.</w:t>
      </w:r>
    </w:p>
    <w:p w14:paraId="387CE21E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1C8D9358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6CE33B2C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7F82B9AE" w14:textId="77777777" w:rsidR="00F42199" w:rsidRDefault="00F42199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1EE5D7C2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087C1A6D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702DDA4D" w14:textId="77777777" w:rsidR="00797204" w:rsidRPr="00782BB9" w:rsidRDefault="00797204" w:rsidP="00797204">
      <w:pPr>
        <w:pStyle w:val="Textoindependiente"/>
        <w:jc w:val="center"/>
        <w:rPr>
          <w:color w:val="4D565E"/>
          <w:sz w:val="20"/>
          <w:szCs w:val="20"/>
        </w:rPr>
      </w:pPr>
      <w:r w:rsidRPr="00406CA9">
        <w:rPr>
          <w:color w:val="4D565E"/>
          <w:sz w:val="20"/>
          <w:szCs w:val="20"/>
        </w:rPr>
        <w:lastRenderedPageBreak/>
        <w:t>Gráfica</w:t>
      </w:r>
      <w:r w:rsidRPr="00782BB9">
        <w:rPr>
          <w:color w:val="4D565E"/>
          <w:sz w:val="20"/>
          <w:szCs w:val="20"/>
        </w:rPr>
        <w:t xml:space="preserve"> 1</w:t>
      </w:r>
    </w:p>
    <w:p w14:paraId="2A1CBDFA" w14:textId="1D42C260" w:rsidR="00797204" w:rsidRPr="00782BB9" w:rsidRDefault="00DC6CFA" w:rsidP="00797204">
      <w:pPr>
        <w:pStyle w:val="Textoindependiente"/>
        <w:jc w:val="center"/>
        <w:rPr>
          <w:rFonts w:ascii="Arial Negrita" w:hAnsi="Arial Negrita"/>
          <w:b/>
          <w:iCs/>
          <w:color w:val="003057"/>
        </w:rPr>
      </w:pPr>
      <w:r>
        <w:rPr>
          <w:rFonts w:ascii="Arial Negrita" w:hAnsi="Arial Negrita"/>
          <w:b/>
          <w:iCs/>
          <w:color w:val="003057"/>
        </w:rPr>
        <w:t xml:space="preserve">Variación </w:t>
      </w:r>
      <w:r w:rsidR="003F4525">
        <w:rPr>
          <w:rFonts w:ascii="Arial Negrita" w:hAnsi="Arial Negrita"/>
          <w:b/>
          <w:iCs/>
          <w:color w:val="003057"/>
        </w:rPr>
        <w:t xml:space="preserve">anual </w:t>
      </w:r>
      <w:r>
        <w:rPr>
          <w:rFonts w:ascii="Arial Negrita" w:hAnsi="Arial Negrita"/>
          <w:b/>
          <w:iCs/>
          <w:color w:val="003057"/>
        </w:rPr>
        <w:t xml:space="preserve">del </w:t>
      </w:r>
      <w:r w:rsidR="00797204" w:rsidRPr="00782BB9">
        <w:rPr>
          <w:rFonts w:ascii="Arial Negrita" w:hAnsi="Arial Negrita"/>
          <w:b/>
          <w:iCs/>
          <w:color w:val="003057"/>
        </w:rPr>
        <w:t xml:space="preserve">Producto Interno </w:t>
      </w:r>
      <w:r w:rsidR="00797204" w:rsidRPr="00406CA9">
        <w:rPr>
          <w:rFonts w:ascii="Arial Negrita" w:hAnsi="Arial Negrita"/>
          <w:b/>
          <w:iCs/>
          <w:color w:val="003057"/>
        </w:rPr>
        <w:t>Bruto</w:t>
      </w:r>
      <w:r w:rsidR="00797204" w:rsidRPr="00782BB9">
        <w:rPr>
          <w:rFonts w:ascii="Arial Negrita" w:hAnsi="Arial Negrita"/>
          <w:b/>
          <w:iCs/>
          <w:color w:val="003057"/>
        </w:rPr>
        <w:t xml:space="preserve"> del sector de la cultura</w:t>
      </w:r>
      <w:r w:rsidR="00797204">
        <w:rPr>
          <w:rFonts w:ascii="Arial Negrita" w:hAnsi="Arial Negrita"/>
          <w:b/>
          <w:iCs/>
          <w:color w:val="003057"/>
        </w:rPr>
        <w:t xml:space="preserve"> y del total de la economía</w:t>
      </w:r>
      <w:r w:rsidR="00367E80" w:rsidRPr="000B23D2">
        <w:rPr>
          <w:rFonts w:ascii="Arial Negrita" w:hAnsi="Arial Negrita"/>
          <w:b/>
          <w:iCs/>
          <w:color w:val="003057"/>
          <w:vertAlign w:val="superscript"/>
        </w:rPr>
        <w:t>1/</w:t>
      </w:r>
    </w:p>
    <w:p w14:paraId="2BB0D8FE" w14:textId="77777777" w:rsidR="00797204" w:rsidRPr="00782BB9" w:rsidRDefault="00797204" w:rsidP="00797204">
      <w:pPr>
        <w:pStyle w:val="Textoindependiente"/>
        <w:jc w:val="center"/>
        <w:rPr>
          <w:bCs/>
          <w:iCs/>
          <w:smallCaps/>
          <w:color w:val="27251F"/>
          <w:sz w:val="20"/>
          <w:szCs w:val="20"/>
        </w:rPr>
      </w:pPr>
      <w:r w:rsidRPr="00406CA9">
        <w:rPr>
          <w:bCs/>
          <w:iCs/>
          <w:smallCaps/>
          <w:color w:val="27251F"/>
          <w:sz w:val="20"/>
          <w:szCs w:val="20"/>
        </w:rPr>
        <w:t>2009</w:t>
      </w:r>
      <w:r w:rsidRPr="00782BB9">
        <w:rPr>
          <w:bCs/>
          <w:iCs/>
          <w:smallCaps/>
          <w:color w:val="27251F"/>
          <w:sz w:val="20"/>
          <w:szCs w:val="20"/>
        </w:rPr>
        <w:t>-202</w:t>
      </w:r>
      <w:r>
        <w:rPr>
          <w:bCs/>
          <w:iCs/>
          <w:smallCaps/>
          <w:color w:val="27251F"/>
          <w:sz w:val="20"/>
          <w:szCs w:val="20"/>
        </w:rPr>
        <w:t>4</w:t>
      </w:r>
    </w:p>
    <w:p w14:paraId="3A815274" w14:textId="0054F5E4" w:rsidR="00797204" w:rsidRPr="00782BB9" w:rsidRDefault="00797204" w:rsidP="00797204">
      <w:pPr>
        <w:pStyle w:val="Textoindependiente"/>
        <w:jc w:val="center"/>
        <w:rPr>
          <w:noProof/>
          <w:color w:val="27251F"/>
        </w:rPr>
      </w:pPr>
      <w:r w:rsidRPr="00782BB9">
        <w:rPr>
          <w:color w:val="27251F"/>
          <w:sz w:val="18"/>
          <w:szCs w:val="18"/>
        </w:rPr>
        <w:t>(</w:t>
      </w:r>
      <w:r w:rsidR="00C22806">
        <w:rPr>
          <w:color w:val="27251F"/>
          <w:sz w:val="18"/>
          <w:szCs w:val="18"/>
        </w:rPr>
        <w:t>porcenta</w:t>
      </w:r>
      <w:r w:rsidR="00367E80">
        <w:rPr>
          <w:color w:val="27251F"/>
          <w:sz w:val="18"/>
          <w:szCs w:val="18"/>
        </w:rPr>
        <w:t>je</w:t>
      </w:r>
      <w:r w:rsidRPr="00782BB9">
        <w:rPr>
          <w:color w:val="27251F"/>
          <w:sz w:val="18"/>
          <w:szCs w:val="18"/>
        </w:rPr>
        <w:t>)</w:t>
      </w:r>
      <w:r w:rsidRPr="00782BB9">
        <w:rPr>
          <w:noProof/>
          <w:color w:val="27251F"/>
        </w:rPr>
        <w:t xml:space="preserve"> </w:t>
      </w:r>
    </w:p>
    <w:p w14:paraId="0E44FF3D" w14:textId="77777777" w:rsidR="00797204" w:rsidRDefault="00797204" w:rsidP="00797204">
      <w:pPr>
        <w:pStyle w:val="Textoindependiente"/>
        <w:jc w:val="center"/>
        <w:rPr>
          <w:noProof/>
        </w:rPr>
      </w:pPr>
      <w:r>
        <w:rPr>
          <w:noProof/>
          <w14:ligatures w14:val="standardContextual"/>
        </w:rPr>
        <w:drawing>
          <wp:inline distT="0" distB="0" distL="0" distR="0" wp14:anchorId="17F453CB" wp14:editId="617DCC25">
            <wp:extent cx="6145188" cy="2560955"/>
            <wp:effectExtent l="0" t="0" r="8255" b="0"/>
            <wp:docPr id="154329786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E8F3CF1C-4E3D-4D53-B047-C68FDDCD5B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3ED7238" w14:textId="48A8E74C" w:rsidR="00367E80" w:rsidRDefault="00367E80" w:rsidP="00FD1780">
      <w:pPr>
        <w:pStyle w:val="Textoindependiente"/>
        <w:ind w:left="851" w:hanging="567"/>
        <w:rPr>
          <w:color w:val="4D565E"/>
          <w:sz w:val="16"/>
          <w:szCs w:val="16"/>
        </w:rPr>
      </w:pPr>
      <w:r w:rsidRPr="000B23D2">
        <w:rPr>
          <w:color w:val="4D565E"/>
          <w:sz w:val="16"/>
          <w:szCs w:val="16"/>
          <w:vertAlign w:val="superscript"/>
        </w:rPr>
        <w:t>1/</w:t>
      </w:r>
      <w:r>
        <w:rPr>
          <w:color w:val="4D565E"/>
          <w:sz w:val="16"/>
          <w:szCs w:val="16"/>
        </w:rPr>
        <w:tab/>
        <w:t xml:space="preserve">Los precios son de 2018. </w:t>
      </w:r>
    </w:p>
    <w:p w14:paraId="08008B80" w14:textId="63EADB57" w:rsidR="00797204" w:rsidRPr="00782BB9" w:rsidRDefault="00797204" w:rsidP="00FD1780">
      <w:pPr>
        <w:pStyle w:val="Textoindependiente"/>
        <w:ind w:left="851" w:hanging="567"/>
        <w:rPr>
          <w:color w:val="4D565E"/>
          <w:sz w:val="16"/>
          <w:szCs w:val="16"/>
        </w:rPr>
      </w:pPr>
      <w:r w:rsidRPr="00782BB9">
        <w:rPr>
          <w:color w:val="4D565E"/>
          <w:sz w:val="16"/>
          <w:szCs w:val="16"/>
        </w:rPr>
        <w:t>Fuente:</w:t>
      </w:r>
      <w:r w:rsidR="00406CA9">
        <w:rPr>
          <w:color w:val="4D565E"/>
          <w:sz w:val="16"/>
          <w:szCs w:val="16"/>
        </w:rPr>
        <w:tab/>
      </w:r>
      <w:r w:rsidRPr="00782BB9">
        <w:rPr>
          <w:smallCaps/>
          <w:color w:val="4D565E"/>
          <w:sz w:val="16"/>
          <w:szCs w:val="16"/>
        </w:rPr>
        <w:t>inegi</w:t>
      </w:r>
      <w:r w:rsidRPr="00782BB9">
        <w:rPr>
          <w:color w:val="4D565E"/>
          <w:sz w:val="16"/>
          <w:szCs w:val="16"/>
        </w:rPr>
        <w:t>. Cuenta Satélite de la Cultura de México (</w:t>
      </w:r>
      <w:r w:rsidRPr="00782BB9">
        <w:rPr>
          <w:smallCaps/>
          <w:color w:val="4D565E"/>
          <w:sz w:val="16"/>
          <w:szCs w:val="16"/>
        </w:rPr>
        <w:t>cscm</w:t>
      </w:r>
      <w:r w:rsidRPr="00782BB9">
        <w:rPr>
          <w:color w:val="4D565E"/>
          <w:sz w:val="16"/>
          <w:szCs w:val="16"/>
        </w:rPr>
        <w:t>), 202</w:t>
      </w:r>
      <w:r>
        <w:rPr>
          <w:color w:val="4D565E"/>
          <w:sz w:val="16"/>
          <w:szCs w:val="16"/>
        </w:rPr>
        <w:t>4</w:t>
      </w:r>
      <w:r w:rsidRPr="00782BB9">
        <w:rPr>
          <w:color w:val="4D565E"/>
          <w:sz w:val="16"/>
          <w:szCs w:val="16"/>
        </w:rPr>
        <w:t>.</w:t>
      </w:r>
    </w:p>
    <w:p w14:paraId="7209772C" w14:textId="77777777" w:rsidR="00797204" w:rsidRDefault="00797204" w:rsidP="00DF2C99">
      <w:pPr>
        <w:pStyle w:val="Prrafodelista"/>
        <w:spacing w:after="0" w:line="240" w:lineRule="auto"/>
        <w:ind w:left="0" w:right="103"/>
        <w:jc w:val="both"/>
        <w:rPr>
          <w:rFonts w:ascii="Arial" w:hAnsi="Arial" w:cs="Arial"/>
          <w:bCs/>
          <w:sz w:val="24"/>
          <w:szCs w:val="24"/>
        </w:rPr>
      </w:pPr>
    </w:p>
    <w:p w14:paraId="02E7204A" w14:textId="4BFBE2D7" w:rsidR="00EF78BD" w:rsidRDefault="00797204" w:rsidP="00DF2C99">
      <w:pPr>
        <w:tabs>
          <w:tab w:val="left" w:pos="284"/>
        </w:tabs>
        <w:ind w:right="103"/>
        <w:jc w:val="both"/>
        <w:rPr>
          <w:rFonts w:ascii="Arial" w:hAnsi="Arial" w:cs="Arial"/>
          <w:bCs/>
          <w:sz w:val="24"/>
          <w:szCs w:val="24"/>
        </w:rPr>
      </w:pPr>
      <w:r w:rsidRPr="00797204">
        <w:rPr>
          <w:rFonts w:ascii="Arial" w:hAnsi="Arial" w:cs="Arial"/>
          <w:bCs/>
          <w:sz w:val="24"/>
          <w:szCs w:val="24"/>
        </w:rPr>
        <w:t>De acuerdo con la clasificación funcional</w:t>
      </w:r>
      <w:r w:rsidR="00CB1361">
        <w:rPr>
          <w:rStyle w:val="Refdenotaalpie"/>
          <w:rFonts w:ascii="Arial" w:hAnsi="Arial" w:cs="Arial"/>
          <w:bCs/>
          <w:sz w:val="24"/>
          <w:szCs w:val="24"/>
        </w:rPr>
        <w:footnoteReference w:id="4"/>
      </w:r>
      <w:r w:rsidRPr="00797204">
        <w:rPr>
          <w:rFonts w:ascii="Arial" w:hAnsi="Arial" w:cs="Arial"/>
          <w:bCs/>
          <w:sz w:val="24"/>
          <w:szCs w:val="24"/>
        </w:rPr>
        <w:t xml:space="preserve"> del sector de la cultura, las áreas con mayor contribución al </w:t>
      </w:r>
      <w:r w:rsidR="00823317">
        <w:rPr>
          <w:rFonts w:ascii="Arial" w:hAnsi="Arial"/>
          <w:smallCaps/>
          <w:sz w:val="24"/>
          <w:szCs w:val="24"/>
        </w:rPr>
        <w:t>pib</w:t>
      </w:r>
      <w:r w:rsidRPr="00797204">
        <w:rPr>
          <w:rFonts w:ascii="Arial" w:hAnsi="Arial" w:cs="Arial"/>
          <w:bCs/>
          <w:sz w:val="24"/>
          <w:szCs w:val="24"/>
        </w:rPr>
        <w:t xml:space="preserve"> fueron </w:t>
      </w:r>
      <w:r w:rsidRPr="006B22B0">
        <w:rPr>
          <w:rFonts w:ascii="Arial" w:hAnsi="Arial" w:cs="Arial"/>
          <w:bCs/>
          <w:i/>
          <w:iCs/>
          <w:sz w:val="24"/>
          <w:szCs w:val="24"/>
        </w:rPr>
        <w:t>artesanías</w:t>
      </w:r>
      <w:r w:rsidRPr="00797204">
        <w:rPr>
          <w:rFonts w:ascii="Arial" w:hAnsi="Arial" w:cs="Arial"/>
          <w:bCs/>
          <w:sz w:val="24"/>
          <w:szCs w:val="24"/>
        </w:rPr>
        <w:t>, con 18.4</w:t>
      </w:r>
      <w:r w:rsidR="00A10037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 xml:space="preserve">%; </w:t>
      </w:r>
      <w:r w:rsidRPr="006B22B0">
        <w:rPr>
          <w:rFonts w:ascii="Arial" w:hAnsi="Arial" w:cs="Arial"/>
          <w:bCs/>
          <w:i/>
          <w:iCs/>
          <w:sz w:val="24"/>
          <w:szCs w:val="24"/>
        </w:rPr>
        <w:t>contenidos digitales e internet</w:t>
      </w:r>
      <w:r w:rsidRPr="00797204">
        <w:rPr>
          <w:rFonts w:ascii="Arial" w:hAnsi="Arial" w:cs="Arial"/>
          <w:bCs/>
          <w:sz w:val="24"/>
          <w:szCs w:val="24"/>
        </w:rPr>
        <w:t xml:space="preserve"> —como el acceso y la transmisión de contenidos digitales—, con 18.1</w:t>
      </w:r>
      <w:r w:rsidR="00A10037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 xml:space="preserve">%; </w:t>
      </w:r>
      <w:r w:rsidRPr="006B22B0">
        <w:rPr>
          <w:rFonts w:ascii="Arial" w:hAnsi="Arial" w:cs="Arial"/>
          <w:bCs/>
          <w:i/>
          <w:iCs/>
          <w:sz w:val="24"/>
          <w:szCs w:val="24"/>
        </w:rPr>
        <w:t>medios audiovisuales</w:t>
      </w:r>
      <w:r w:rsidRPr="00797204">
        <w:rPr>
          <w:rFonts w:ascii="Arial" w:hAnsi="Arial" w:cs="Arial"/>
          <w:bCs/>
          <w:sz w:val="24"/>
          <w:szCs w:val="24"/>
        </w:rPr>
        <w:t xml:space="preserve"> —como televisión o cine—, con 17.2</w:t>
      </w:r>
      <w:r w:rsidR="00A10037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>%</w:t>
      </w:r>
      <w:r w:rsidR="00A10037">
        <w:rPr>
          <w:rFonts w:ascii="Arial" w:hAnsi="Arial" w:cs="Arial"/>
          <w:bCs/>
          <w:sz w:val="24"/>
          <w:szCs w:val="24"/>
        </w:rPr>
        <w:t>;</w:t>
      </w:r>
      <w:r w:rsidR="00EB3402">
        <w:rPr>
          <w:rFonts w:ascii="Arial" w:hAnsi="Arial" w:cs="Arial"/>
          <w:bCs/>
          <w:sz w:val="24"/>
          <w:szCs w:val="24"/>
        </w:rPr>
        <w:t xml:space="preserve"> y</w:t>
      </w:r>
      <w:r w:rsidRPr="00797204">
        <w:rPr>
          <w:rFonts w:ascii="Arial" w:hAnsi="Arial" w:cs="Arial"/>
          <w:bCs/>
          <w:sz w:val="24"/>
          <w:szCs w:val="24"/>
        </w:rPr>
        <w:t xml:space="preserve"> </w:t>
      </w:r>
      <w:r w:rsidRPr="006B22B0">
        <w:rPr>
          <w:rFonts w:ascii="Arial" w:hAnsi="Arial" w:cs="Arial"/>
          <w:bCs/>
          <w:i/>
          <w:iCs/>
          <w:sz w:val="24"/>
          <w:szCs w:val="24"/>
        </w:rPr>
        <w:t>diseño y servicios creativos</w:t>
      </w:r>
      <w:r w:rsidRPr="00797204">
        <w:rPr>
          <w:rFonts w:ascii="Arial" w:hAnsi="Arial" w:cs="Arial"/>
          <w:bCs/>
          <w:sz w:val="24"/>
          <w:szCs w:val="24"/>
        </w:rPr>
        <w:t>, con 14.5</w:t>
      </w:r>
      <w:r w:rsidR="00A10037">
        <w:rPr>
          <w:rFonts w:ascii="Arial" w:hAnsi="Arial" w:cs="Arial"/>
          <w:bCs/>
          <w:sz w:val="24"/>
          <w:szCs w:val="24"/>
        </w:rPr>
        <w:t> </w:t>
      </w:r>
      <w:r w:rsidRPr="00797204">
        <w:rPr>
          <w:rFonts w:ascii="Arial" w:hAnsi="Arial" w:cs="Arial"/>
          <w:bCs/>
          <w:sz w:val="24"/>
          <w:szCs w:val="24"/>
        </w:rPr>
        <w:t>% (ver</w:t>
      </w:r>
      <w:r w:rsidR="00EB3402">
        <w:rPr>
          <w:rFonts w:ascii="Arial" w:hAnsi="Arial" w:cs="Arial"/>
          <w:bCs/>
          <w:sz w:val="24"/>
          <w:szCs w:val="24"/>
        </w:rPr>
        <w:t xml:space="preserve"> </w:t>
      </w:r>
      <w:r w:rsidRPr="00797204">
        <w:rPr>
          <w:rFonts w:ascii="Arial" w:hAnsi="Arial" w:cs="Arial"/>
          <w:bCs/>
          <w:sz w:val="24"/>
          <w:szCs w:val="24"/>
        </w:rPr>
        <w:t>gráfica 2)</w:t>
      </w:r>
      <w:r w:rsidR="00EF78BD" w:rsidRPr="00DF2C99">
        <w:rPr>
          <w:rFonts w:ascii="Arial" w:hAnsi="Arial" w:cs="Arial"/>
          <w:bCs/>
          <w:sz w:val="24"/>
          <w:szCs w:val="24"/>
        </w:rPr>
        <w:t>.</w:t>
      </w:r>
    </w:p>
    <w:p w14:paraId="05DD9E2C" w14:textId="77777777" w:rsidR="00797204" w:rsidRDefault="00797204" w:rsidP="00DF2C99">
      <w:pPr>
        <w:tabs>
          <w:tab w:val="left" w:pos="284"/>
        </w:tabs>
        <w:ind w:right="103"/>
        <w:jc w:val="both"/>
        <w:rPr>
          <w:rFonts w:ascii="Arial" w:hAnsi="Arial" w:cs="Arial"/>
          <w:bCs/>
          <w:sz w:val="24"/>
          <w:szCs w:val="24"/>
        </w:rPr>
      </w:pPr>
    </w:p>
    <w:p w14:paraId="1D6853C5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4AC2CCDC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01DE66EF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73A97538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54DC813A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50E2BB8C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6836CD9A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09610C34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712A1285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2DE8F8A8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2B89D4DD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68677F48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1970E5C2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5BAF7089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7C6CE71A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6017674C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1F060E36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4DB4A8F1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7D079EA2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2B3DD56C" w14:textId="77777777" w:rsidR="00CB1361" w:rsidRDefault="00CB1361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</w:p>
    <w:p w14:paraId="6FECAC94" w14:textId="7E31619A" w:rsidR="00797204" w:rsidRPr="00782BB9" w:rsidRDefault="00797204" w:rsidP="00797204">
      <w:pPr>
        <w:ind w:left="-567" w:right="-516"/>
        <w:jc w:val="center"/>
        <w:rPr>
          <w:rFonts w:ascii="Arial" w:hAnsi="Arial" w:cs="Arial"/>
          <w:color w:val="4D565E"/>
          <w:sz w:val="20"/>
          <w:szCs w:val="20"/>
        </w:rPr>
      </w:pPr>
      <w:r w:rsidRPr="00782BB9">
        <w:rPr>
          <w:rFonts w:ascii="Arial" w:hAnsi="Arial" w:cs="Arial"/>
          <w:color w:val="4D565E"/>
          <w:sz w:val="20"/>
          <w:szCs w:val="20"/>
        </w:rPr>
        <w:lastRenderedPageBreak/>
        <w:t>Gráfica 2</w:t>
      </w:r>
    </w:p>
    <w:p w14:paraId="65A5A94B" w14:textId="77777777" w:rsidR="00797204" w:rsidRDefault="00797204" w:rsidP="00797204">
      <w:pPr>
        <w:pStyle w:val="Textoindependiente"/>
        <w:jc w:val="center"/>
        <w:rPr>
          <w:rFonts w:ascii="Arial Negrita" w:hAnsi="Arial Negrita"/>
          <w:b/>
          <w:iCs/>
          <w:color w:val="003057"/>
        </w:rPr>
      </w:pPr>
      <w:r w:rsidRPr="00782BB9">
        <w:rPr>
          <w:rFonts w:ascii="Arial Negrita" w:hAnsi="Arial Negrita"/>
          <w:b/>
          <w:iCs/>
          <w:color w:val="003057"/>
        </w:rPr>
        <w:t xml:space="preserve">Distribución porcentual del Producto Interno Bruto del sector de la cultura, </w:t>
      </w:r>
    </w:p>
    <w:p w14:paraId="1F5C9902" w14:textId="77777777" w:rsidR="00797204" w:rsidRPr="00C26D68" w:rsidRDefault="00797204" w:rsidP="00797204">
      <w:pPr>
        <w:pStyle w:val="Textoindependiente"/>
        <w:jc w:val="center"/>
        <w:rPr>
          <w:rFonts w:ascii="Arial Negrita" w:hAnsi="Arial Negrita"/>
          <w:b/>
          <w:iCs/>
          <w:color w:val="003057"/>
        </w:rPr>
      </w:pPr>
      <w:r w:rsidRPr="00782BB9">
        <w:rPr>
          <w:rFonts w:ascii="Arial Negrita" w:hAnsi="Arial Negrita"/>
          <w:b/>
          <w:iCs/>
          <w:color w:val="003057"/>
        </w:rPr>
        <w:t xml:space="preserve">según clasificación </w:t>
      </w:r>
      <w:r w:rsidRPr="00C26D68">
        <w:rPr>
          <w:rFonts w:ascii="Arial Negrita" w:hAnsi="Arial Negrita"/>
          <w:b/>
          <w:iCs/>
          <w:color w:val="003057"/>
        </w:rPr>
        <w:t>funcional</w:t>
      </w:r>
    </w:p>
    <w:p w14:paraId="3E66B7BF" w14:textId="77777777" w:rsidR="00797204" w:rsidRDefault="00797204" w:rsidP="00797204">
      <w:pPr>
        <w:pStyle w:val="Textoindependiente"/>
        <w:jc w:val="center"/>
        <w:rPr>
          <w:iCs/>
          <w:color w:val="27251F"/>
          <w:sz w:val="20"/>
          <w:szCs w:val="20"/>
        </w:rPr>
      </w:pPr>
      <w:r w:rsidRPr="00C26D68">
        <w:rPr>
          <w:iCs/>
          <w:color w:val="27251F"/>
          <w:sz w:val="20"/>
          <w:szCs w:val="20"/>
        </w:rPr>
        <w:t>202</w:t>
      </w:r>
      <w:r>
        <w:rPr>
          <w:iCs/>
          <w:color w:val="27251F"/>
          <w:sz w:val="20"/>
          <w:szCs w:val="20"/>
        </w:rPr>
        <w:t>4</w:t>
      </w:r>
    </w:p>
    <w:p w14:paraId="05A3E1F2" w14:textId="77777777" w:rsidR="00797204" w:rsidRPr="00C26D68" w:rsidRDefault="00797204" w:rsidP="00797204">
      <w:pPr>
        <w:pStyle w:val="Textoindependiente"/>
        <w:jc w:val="center"/>
        <w:rPr>
          <w:iCs/>
          <w:sz w:val="18"/>
          <w:szCs w:val="18"/>
        </w:rPr>
      </w:pPr>
      <w:r w:rsidRPr="00C26D68">
        <w:rPr>
          <w:iCs/>
          <w:color w:val="27251F"/>
          <w:sz w:val="18"/>
          <w:szCs w:val="18"/>
        </w:rPr>
        <w:t>(porcentaje)</w:t>
      </w:r>
    </w:p>
    <w:p w14:paraId="04B89F0E" w14:textId="77777777" w:rsidR="00797204" w:rsidRDefault="00797204" w:rsidP="008E0C75">
      <w:pPr>
        <w:pStyle w:val="Textoindependiente"/>
        <w:ind w:left="284" w:hanging="568"/>
        <w:jc w:val="center"/>
        <w:rPr>
          <w:color w:val="4D565E"/>
          <w:sz w:val="16"/>
          <w:szCs w:val="16"/>
        </w:rPr>
      </w:pPr>
      <w:r>
        <w:rPr>
          <w:noProof/>
          <w14:ligatures w14:val="standardContextual"/>
        </w:rPr>
        <w:drawing>
          <wp:inline distT="0" distB="0" distL="0" distR="0" wp14:anchorId="0D073318" wp14:editId="2BADEB47">
            <wp:extent cx="5612130" cy="2637693"/>
            <wp:effectExtent l="0" t="0" r="7620" b="0"/>
            <wp:docPr id="212945711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58F94E16-2744-899C-667B-8A82D0E0FF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B1FC64B" w14:textId="569F7BDC" w:rsidR="00797204" w:rsidRPr="009A17A4" w:rsidRDefault="00797204" w:rsidP="00FD1780">
      <w:pPr>
        <w:pStyle w:val="Textoindependiente"/>
        <w:ind w:left="993" w:hanging="567"/>
        <w:rPr>
          <w:color w:val="4D565E"/>
          <w:sz w:val="16"/>
          <w:szCs w:val="16"/>
        </w:rPr>
      </w:pPr>
      <w:r w:rsidRPr="00782BB9">
        <w:rPr>
          <w:color w:val="4D565E"/>
          <w:sz w:val="16"/>
          <w:szCs w:val="16"/>
        </w:rPr>
        <w:t>Fuente:</w:t>
      </w:r>
      <w:r w:rsidR="00377C25">
        <w:rPr>
          <w:color w:val="4D565E"/>
          <w:sz w:val="16"/>
          <w:szCs w:val="16"/>
        </w:rPr>
        <w:tab/>
      </w:r>
      <w:r w:rsidRPr="00782BB9">
        <w:rPr>
          <w:smallCaps/>
          <w:color w:val="4D565E"/>
          <w:sz w:val="16"/>
          <w:szCs w:val="16"/>
        </w:rPr>
        <w:t>inegi</w:t>
      </w:r>
      <w:r w:rsidRPr="00782BB9">
        <w:rPr>
          <w:color w:val="4D565E"/>
          <w:sz w:val="16"/>
          <w:szCs w:val="16"/>
        </w:rPr>
        <w:t>. Cuenta Satélite de la Cultura de México (</w:t>
      </w:r>
      <w:r w:rsidRPr="00782BB9">
        <w:rPr>
          <w:smallCaps/>
          <w:color w:val="4D565E"/>
          <w:sz w:val="16"/>
          <w:szCs w:val="16"/>
        </w:rPr>
        <w:t>cscm</w:t>
      </w:r>
      <w:r w:rsidRPr="00782BB9">
        <w:rPr>
          <w:color w:val="4D565E"/>
          <w:sz w:val="16"/>
          <w:szCs w:val="16"/>
        </w:rPr>
        <w:t>), 202</w:t>
      </w:r>
      <w:r>
        <w:rPr>
          <w:color w:val="4D565E"/>
          <w:sz w:val="16"/>
          <w:szCs w:val="16"/>
        </w:rPr>
        <w:t>4</w:t>
      </w:r>
      <w:r w:rsidRPr="00782BB9">
        <w:rPr>
          <w:color w:val="4D565E"/>
          <w:sz w:val="16"/>
          <w:szCs w:val="16"/>
        </w:rPr>
        <w:t>.</w:t>
      </w:r>
    </w:p>
    <w:p w14:paraId="77CE6064" w14:textId="77777777" w:rsidR="00EF78BD" w:rsidRPr="00FD1780" w:rsidRDefault="00EF78BD" w:rsidP="00DF2C99">
      <w:pPr>
        <w:tabs>
          <w:tab w:val="left" w:pos="284"/>
        </w:tabs>
        <w:ind w:right="103"/>
        <w:jc w:val="both"/>
        <w:rPr>
          <w:rFonts w:ascii="Arial" w:hAnsi="Arial" w:cs="Arial"/>
          <w:bCs/>
          <w:color w:val="FFFFFF" w:themeColor="background1"/>
          <w:sz w:val="24"/>
          <w:szCs w:val="24"/>
          <w14:textFill>
            <w14:noFill/>
          </w14:textFill>
        </w:rPr>
      </w:pPr>
    </w:p>
    <w:p w14:paraId="4DDD6391" w14:textId="365EB151" w:rsidR="00797204" w:rsidRPr="00377C25" w:rsidRDefault="00797204" w:rsidP="00DF2C99">
      <w:pPr>
        <w:tabs>
          <w:tab w:val="left" w:pos="284"/>
        </w:tabs>
        <w:ind w:right="103"/>
        <w:jc w:val="both"/>
        <w:rPr>
          <w:rFonts w:ascii="Arial" w:hAnsi="Arial" w:cs="Arial"/>
          <w:bCs/>
          <w:sz w:val="24"/>
          <w:szCs w:val="24"/>
        </w:rPr>
      </w:pPr>
      <w:r w:rsidRPr="00377C25">
        <w:rPr>
          <w:rFonts w:ascii="Arial" w:hAnsi="Arial" w:cs="Arial"/>
          <w:bCs/>
          <w:sz w:val="24"/>
          <w:szCs w:val="24"/>
        </w:rPr>
        <w:t xml:space="preserve">Las áreas del sector de la cultura con mayor crecimiento en 2024 fueron </w:t>
      </w:r>
      <w:r w:rsidRPr="00A4187C">
        <w:rPr>
          <w:rFonts w:ascii="Arial" w:hAnsi="Arial" w:cs="Arial"/>
          <w:bCs/>
          <w:sz w:val="24"/>
          <w:szCs w:val="24"/>
        </w:rPr>
        <w:t>música y conciertos</w:t>
      </w:r>
      <w:r w:rsidRPr="00377C25">
        <w:rPr>
          <w:rFonts w:ascii="Arial" w:hAnsi="Arial" w:cs="Arial"/>
          <w:bCs/>
          <w:sz w:val="24"/>
          <w:szCs w:val="24"/>
        </w:rPr>
        <w:t xml:space="preserve"> (14.9</w:t>
      </w:r>
      <w:r w:rsidR="00907C1F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 xml:space="preserve">%), </w:t>
      </w:r>
      <w:r w:rsidRPr="00A4187C">
        <w:rPr>
          <w:rFonts w:ascii="Arial" w:hAnsi="Arial" w:cs="Arial"/>
          <w:bCs/>
          <w:sz w:val="24"/>
          <w:szCs w:val="24"/>
        </w:rPr>
        <w:t>diseño y servicios creativos</w:t>
      </w:r>
      <w:r w:rsidRPr="00377C25">
        <w:rPr>
          <w:rFonts w:ascii="Arial" w:hAnsi="Arial" w:cs="Arial"/>
          <w:bCs/>
          <w:sz w:val="24"/>
          <w:szCs w:val="24"/>
        </w:rPr>
        <w:t xml:space="preserve"> (7.7</w:t>
      </w:r>
      <w:r w:rsidR="00907C1F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 xml:space="preserve">%), así como las </w:t>
      </w:r>
      <w:r w:rsidRPr="00A4187C">
        <w:rPr>
          <w:rFonts w:ascii="Arial" w:hAnsi="Arial" w:cs="Arial"/>
          <w:bCs/>
          <w:sz w:val="24"/>
          <w:szCs w:val="24"/>
        </w:rPr>
        <w:t>artes visuales y plásticas</w:t>
      </w:r>
      <w:r w:rsidRPr="00377C25">
        <w:rPr>
          <w:rFonts w:ascii="Arial" w:hAnsi="Arial" w:cs="Arial"/>
          <w:bCs/>
          <w:sz w:val="24"/>
          <w:szCs w:val="24"/>
        </w:rPr>
        <w:t xml:space="preserve"> (5.3</w:t>
      </w:r>
      <w:r w:rsidR="00907C1F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 xml:space="preserve">%). Las áreas que más disminuyeron fueron las </w:t>
      </w:r>
      <w:r w:rsidRPr="00A4187C">
        <w:rPr>
          <w:rFonts w:ascii="Arial" w:hAnsi="Arial" w:cs="Arial"/>
          <w:bCs/>
          <w:sz w:val="24"/>
          <w:szCs w:val="24"/>
        </w:rPr>
        <w:t>artesanías</w:t>
      </w:r>
      <w:r w:rsidRPr="00377C25">
        <w:rPr>
          <w:rFonts w:ascii="Arial" w:hAnsi="Arial" w:cs="Arial"/>
          <w:bCs/>
          <w:sz w:val="24"/>
          <w:szCs w:val="24"/>
        </w:rPr>
        <w:t xml:space="preserve"> (3.8</w:t>
      </w:r>
      <w:r w:rsidR="00907C1F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 xml:space="preserve">%), y los </w:t>
      </w:r>
      <w:r w:rsidRPr="00A4187C">
        <w:rPr>
          <w:rFonts w:ascii="Arial" w:hAnsi="Arial" w:cs="Arial"/>
          <w:bCs/>
          <w:sz w:val="24"/>
          <w:szCs w:val="24"/>
        </w:rPr>
        <w:t>medios audiovisuales</w:t>
      </w:r>
      <w:r w:rsidRPr="00377C25">
        <w:rPr>
          <w:rFonts w:ascii="Arial" w:hAnsi="Arial" w:cs="Arial"/>
          <w:bCs/>
          <w:sz w:val="24"/>
          <w:szCs w:val="24"/>
        </w:rPr>
        <w:t xml:space="preserve"> (3.6</w:t>
      </w:r>
      <w:r w:rsidR="00907C1F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>%)</w:t>
      </w:r>
      <w:r w:rsidR="00EF78BD" w:rsidRPr="00377C25">
        <w:rPr>
          <w:rFonts w:ascii="Arial" w:hAnsi="Arial" w:cs="Arial"/>
          <w:bCs/>
          <w:sz w:val="24"/>
          <w:szCs w:val="24"/>
        </w:rPr>
        <w:t>.</w:t>
      </w:r>
    </w:p>
    <w:p w14:paraId="093C0805" w14:textId="77777777" w:rsidR="00797204" w:rsidRPr="00377C25" w:rsidRDefault="00797204" w:rsidP="00DF2C99">
      <w:pPr>
        <w:tabs>
          <w:tab w:val="left" w:pos="284"/>
        </w:tabs>
        <w:ind w:right="103"/>
        <w:jc w:val="both"/>
        <w:rPr>
          <w:rFonts w:ascii="Arial" w:hAnsi="Arial" w:cs="Arial"/>
          <w:bCs/>
          <w:sz w:val="24"/>
          <w:szCs w:val="24"/>
        </w:rPr>
      </w:pPr>
    </w:p>
    <w:p w14:paraId="43B5348E" w14:textId="2EE8F2FA" w:rsidR="00797204" w:rsidRPr="00377C25" w:rsidRDefault="00797204" w:rsidP="00DF2C99">
      <w:pPr>
        <w:tabs>
          <w:tab w:val="left" w:pos="284"/>
        </w:tabs>
        <w:ind w:right="103"/>
        <w:jc w:val="both"/>
        <w:rPr>
          <w:rFonts w:ascii="Arial" w:hAnsi="Arial" w:cs="Arial"/>
          <w:bCs/>
          <w:sz w:val="24"/>
          <w:szCs w:val="24"/>
        </w:rPr>
      </w:pPr>
      <w:r w:rsidRPr="00377C25">
        <w:rPr>
          <w:rFonts w:ascii="Arial" w:hAnsi="Arial" w:cs="Arial"/>
          <w:bCs/>
          <w:sz w:val="24"/>
          <w:szCs w:val="24"/>
        </w:rPr>
        <w:t>Las actividades económicas del sector de la cultura generaron 1</w:t>
      </w:r>
      <w:r w:rsidR="006D3A45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>430</w:t>
      </w:r>
      <w:r w:rsidR="006D3A45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>528 puestos de trabajo, lo que equivale a 3.5</w:t>
      </w:r>
      <w:r w:rsidR="006D3A45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>% del total de puestos de trabajo en la economía. Al comparar con 2023, se observó un decremento de 0.2</w:t>
      </w:r>
      <w:r w:rsidR="006D3A45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>%, lo que representó una disminución de 2</w:t>
      </w:r>
      <w:r w:rsidR="006D3A45">
        <w:rPr>
          <w:rFonts w:ascii="Arial" w:hAnsi="Arial" w:cs="Arial"/>
          <w:bCs/>
          <w:sz w:val="24"/>
          <w:szCs w:val="24"/>
        </w:rPr>
        <w:t> </w:t>
      </w:r>
      <w:r w:rsidRPr="00377C25">
        <w:rPr>
          <w:rFonts w:ascii="Arial" w:hAnsi="Arial" w:cs="Arial"/>
          <w:bCs/>
          <w:sz w:val="24"/>
          <w:szCs w:val="24"/>
        </w:rPr>
        <w:t>852 puestos de trabajo.</w:t>
      </w:r>
    </w:p>
    <w:p w14:paraId="418395C2" w14:textId="77777777" w:rsidR="00797204" w:rsidRDefault="00797204" w:rsidP="00DF2C99">
      <w:pPr>
        <w:tabs>
          <w:tab w:val="left" w:pos="284"/>
        </w:tabs>
        <w:ind w:right="103"/>
        <w:jc w:val="both"/>
        <w:rPr>
          <w:rFonts w:ascii="Arial" w:hAnsi="Arial" w:cs="Arial"/>
          <w:bCs/>
          <w:sz w:val="24"/>
          <w:szCs w:val="24"/>
        </w:rPr>
      </w:pPr>
    </w:p>
    <w:p w14:paraId="36EDFCBA" w14:textId="2CA9102A" w:rsidR="00EF78BD" w:rsidRPr="00DF2C99" w:rsidRDefault="00797204" w:rsidP="00797204">
      <w:pPr>
        <w:tabs>
          <w:tab w:val="left" w:pos="284"/>
        </w:tabs>
        <w:ind w:right="103"/>
        <w:jc w:val="both"/>
        <w:rPr>
          <w:rFonts w:ascii="Arial" w:hAnsi="Arial" w:cs="Arial"/>
          <w:bCs/>
          <w:sz w:val="24"/>
          <w:szCs w:val="24"/>
        </w:rPr>
      </w:pPr>
      <w:r w:rsidRPr="00797204">
        <w:rPr>
          <w:rFonts w:ascii="Arial" w:hAnsi="Arial" w:cs="Arial"/>
          <w:bCs/>
          <w:sz w:val="24"/>
          <w:szCs w:val="24"/>
        </w:rPr>
        <w:t xml:space="preserve">Tanto la publicación de la </w:t>
      </w:r>
      <w:r w:rsidR="00823317">
        <w:rPr>
          <w:rFonts w:ascii="Arial" w:hAnsi="Arial"/>
          <w:smallCaps/>
          <w:sz w:val="24"/>
          <w:szCs w:val="24"/>
        </w:rPr>
        <w:t>cscm</w:t>
      </w:r>
      <w:r w:rsidR="00823317" w:rsidRPr="00797204">
        <w:rPr>
          <w:rFonts w:ascii="Arial" w:hAnsi="Arial" w:cs="Arial"/>
          <w:bCs/>
          <w:sz w:val="24"/>
          <w:szCs w:val="24"/>
        </w:rPr>
        <w:t xml:space="preserve"> </w:t>
      </w:r>
      <w:r w:rsidRPr="000B23D2">
        <w:rPr>
          <w:rFonts w:ascii="Arial" w:hAnsi="Arial" w:cs="Arial"/>
          <w:bCs/>
          <w:sz w:val="21"/>
          <w:szCs w:val="21"/>
        </w:rPr>
        <w:t>2024</w:t>
      </w:r>
      <w:r w:rsidRPr="00797204">
        <w:rPr>
          <w:rFonts w:ascii="Arial" w:hAnsi="Arial" w:cs="Arial"/>
          <w:bCs/>
          <w:sz w:val="24"/>
          <w:szCs w:val="24"/>
        </w:rPr>
        <w:t xml:space="preserve"> como la metodología e información de interés pueden consultarse en </w:t>
      </w:r>
      <w:r w:rsidR="006E7434">
        <w:rPr>
          <w:rFonts w:ascii="Arial" w:hAnsi="Arial" w:cs="Arial"/>
          <w:bCs/>
          <w:sz w:val="24"/>
          <w:szCs w:val="24"/>
        </w:rPr>
        <w:t>el portal</w:t>
      </w:r>
      <w:r w:rsidRPr="00797204">
        <w:rPr>
          <w:rFonts w:ascii="Arial" w:hAnsi="Arial" w:cs="Arial"/>
          <w:bCs/>
          <w:sz w:val="24"/>
          <w:szCs w:val="24"/>
        </w:rPr>
        <w:t xml:space="preserve"> del Instituto:</w:t>
      </w:r>
      <w:r w:rsidR="00DE100D">
        <w:t xml:space="preserve"> </w:t>
      </w:r>
      <w:hyperlink r:id="rId10" w:history="1">
        <w:r w:rsidR="00DE100D" w:rsidRPr="00DE100D">
          <w:rPr>
            <w:rStyle w:val="Hipervnculo"/>
            <w:rFonts w:ascii="Arial" w:hAnsi="Arial" w:cs="Arial"/>
            <w:bCs/>
            <w:sz w:val="24"/>
            <w:szCs w:val="24"/>
          </w:rPr>
          <w:t>https://www.inegi.org.mx/temas/cultura/</w:t>
        </w:r>
      </w:hyperlink>
      <w:r w:rsidRPr="00797204">
        <w:rPr>
          <w:rFonts w:ascii="Arial" w:hAnsi="Arial" w:cs="Arial"/>
          <w:bCs/>
          <w:sz w:val="24"/>
          <w:szCs w:val="24"/>
        </w:rPr>
        <w:t xml:space="preserve">, o bien, en la sección: </w:t>
      </w:r>
      <w:hyperlink r:id="rId11" w:history="1">
        <w:r w:rsidR="00DE100D" w:rsidRPr="00DE100D">
          <w:rPr>
            <w:rStyle w:val="Hipervnculo"/>
            <w:rFonts w:ascii="Arial" w:hAnsi="Arial" w:cs="Arial"/>
            <w:bCs/>
            <w:sz w:val="24"/>
            <w:szCs w:val="24"/>
          </w:rPr>
          <w:t>https://www.inegi.org.mx/programas/cultura/2018/</w:t>
        </w:r>
      </w:hyperlink>
      <w:r w:rsidR="00DB4DA3">
        <w:t>.</w:t>
      </w:r>
      <w:r w:rsidR="00EF78BD" w:rsidRPr="00DF2C99">
        <w:rPr>
          <w:rFonts w:ascii="Arial" w:hAnsi="Arial" w:cs="Arial"/>
          <w:bCs/>
          <w:sz w:val="24"/>
          <w:szCs w:val="24"/>
        </w:rPr>
        <w:t xml:space="preserve"> </w:t>
      </w:r>
    </w:p>
    <w:p w14:paraId="1C512BB6" w14:textId="77777777" w:rsidR="00D1016E" w:rsidRDefault="00D1016E" w:rsidP="00762325">
      <w:pPr>
        <w:ind w:left="142"/>
        <w:jc w:val="center"/>
        <w:rPr>
          <w:rFonts w:ascii="Arial" w:hAnsi="Arial" w:cs="Arial"/>
          <w:b/>
          <w:bCs/>
          <w:color w:val="003057"/>
          <w:sz w:val="24"/>
          <w:szCs w:val="24"/>
        </w:rPr>
      </w:pPr>
    </w:p>
    <w:p w14:paraId="1D4D13DC" w14:textId="340E1BE7" w:rsidR="000943B8" w:rsidRPr="00C16965" w:rsidRDefault="000943B8" w:rsidP="00762325">
      <w:pPr>
        <w:ind w:left="142"/>
        <w:jc w:val="center"/>
        <w:rPr>
          <w:rFonts w:ascii="Arial" w:hAnsi="Arial" w:cs="Arial"/>
          <w:b/>
          <w:bCs/>
          <w:color w:val="003057"/>
          <w:sz w:val="24"/>
          <w:szCs w:val="24"/>
        </w:rPr>
      </w:pPr>
      <w:r w:rsidRPr="00C16965">
        <w:rPr>
          <w:rFonts w:ascii="Arial" w:hAnsi="Arial" w:cs="Arial"/>
          <w:b/>
          <w:bCs/>
          <w:color w:val="003057"/>
          <w:sz w:val="24"/>
          <w:szCs w:val="24"/>
        </w:rPr>
        <w:t>Más información</w:t>
      </w:r>
    </w:p>
    <w:p w14:paraId="569FF29D" w14:textId="12E5A4B2" w:rsidR="002E0E1F" w:rsidRPr="00DF2C99" w:rsidRDefault="00C16965" w:rsidP="00C16965">
      <w:pPr>
        <w:pStyle w:val="NormalWeb"/>
        <w:ind w:left="142"/>
        <w:contextualSpacing/>
        <w:jc w:val="both"/>
        <w:rPr>
          <w:rFonts w:ascii="Arial" w:hAnsi="Arial" w:cs="Arial"/>
          <w:sz w:val="20"/>
          <w:szCs w:val="20"/>
        </w:rPr>
      </w:pPr>
      <w:r w:rsidRPr="00DF2C99">
        <w:rPr>
          <w:rFonts w:ascii="Arial" w:hAnsi="Arial" w:cs="Arial"/>
          <w:b/>
          <w:bCs/>
          <w:noProof/>
          <w:color w:val="002060"/>
          <w:sz w:val="20"/>
          <w:szCs w:val="20"/>
          <w:lang w:val="pt-P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856C57" wp14:editId="0EBBA46B">
                <wp:simplePos x="0" y="0"/>
                <wp:positionH relativeFrom="column">
                  <wp:posOffset>99203</wp:posOffset>
                </wp:positionH>
                <wp:positionV relativeFrom="paragraph">
                  <wp:posOffset>6493</wp:posOffset>
                </wp:positionV>
                <wp:extent cx="6279455" cy="51435"/>
                <wp:effectExtent l="0" t="0" r="26670" b="24765"/>
                <wp:wrapNone/>
                <wp:docPr id="1124842837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9455" cy="51435"/>
                        </a:xfrm>
                        <a:prstGeom prst="line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E5F85B" id="Conector recto 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8pt,.5pt" to="502.2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" strokecolor="#002060" strokeweight=".5pt">
                <v:stroke joinstyle="miter"/>
              </v:line>
            </w:pict>
          </mc:Fallback>
        </mc:AlternateContent>
      </w:r>
      <w:r w:rsidR="00C77D26" w:rsidRPr="00DF2C99">
        <w:rPr>
          <w:rFonts w:ascii="Arial" w:hAnsi="Arial" w:cs="Arial"/>
          <w:sz w:val="20"/>
          <w:szCs w:val="20"/>
          <w:lang w:val="es-ES_tradnl"/>
        </w:rPr>
        <w:t xml:space="preserve">Para consultas de medios y periodistas, escribir a </w:t>
      </w:r>
      <w:hyperlink r:id="rId12" w:history="1">
        <w:r w:rsidR="00C77D26" w:rsidRPr="00DF2C99">
          <w:rPr>
            <w:rStyle w:val="Hipervnculo"/>
            <w:rFonts w:ascii="Arial" w:eastAsiaTheme="majorEastAsia" w:hAnsi="Arial" w:cs="Arial"/>
            <w:sz w:val="20"/>
            <w:szCs w:val="20"/>
          </w:rPr>
          <w:t>comunicacionsocial@inegi.org.mx</w:t>
        </w:r>
      </w:hyperlink>
      <w:r w:rsidR="00C77D26" w:rsidRPr="00DF2C99">
        <w:rPr>
          <w:rFonts w:ascii="Arial" w:hAnsi="Arial" w:cs="Arial"/>
          <w:sz w:val="20"/>
          <w:szCs w:val="20"/>
          <w:lang w:val="es-ES_tradnl"/>
        </w:rPr>
        <w:t xml:space="preserve"> o llamar al teléfono</w:t>
      </w:r>
      <w:r w:rsidR="00113ED4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DE100D">
        <w:rPr>
          <w:rFonts w:ascii="Arial" w:hAnsi="Arial" w:cs="Arial"/>
          <w:sz w:val="20"/>
          <w:szCs w:val="20"/>
          <w:lang w:val="es-ES_tradnl"/>
        </w:rPr>
        <w:br/>
      </w:r>
      <w:r w:rsidR="00C77D26" w:rsidRPr="00DF2C99">
        <w:rPr>
          <w:rFonts w:ascii="Arial" w:hAnsi="Arial" w:cs="Arial"/>
          <w:sz w:val="20"/>
          <w:szCs w:val="20"/>
          <w:lang w:val="es-ES_tradnl"/>
        </w:rPr>
        <w:t>(55) 52-78-10-00, extensiones 321064, 321134 y 321241.</w:t>
      </w:r>
      <w:r w:rsidR="006F1851" w:rsidRPr="00DF2C99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C77D26" w:rsidRPr="00DF2C99">
        <w:rPr>
          <w:rFonts w:ascii="Arial" w:hAnsi="Arial" w:cs="Arial"/>
          <w:sz w:val="20"/>
          <w:szCs w:val="20"/>
        </w:rPr>
        <w:t>Dirección de Atención a Medios</w:t>
      </w:r>
      <w:r w:rsidR="0087372F" w:rsidRPr="00DF2C99">
        <w:rPr>
          <w:rFonts w:ascii="Arial" w:hAnsi="Arial" w:cs="Arial"/>
          <w:sz w:val="20"/>
          <w:szCs w:val="20"/>
        </w:rPr>
        <w:t xml:space="preserve"> </w:t>
      </w:r>
      <w:r w:rsidR="00C77D26" w:rsidRPr="00DF2C99">
        <w:rPr>
          <w:rFonts w:ascii="Arial" w:hAnsi="Arial" w:cs="Arial"/>
          <w:sz w:val="20"/>
          <w:szCs w:val="20"/>
        </w:rPr>
        <w:t>/ Dirección General Adjunta de Comunicación</w:t>
      </w:r>
      <w:r w:rsidR="000943B8" w:rsidRPr="00DF2C99">
        <w:rPr>
          <w:rFonts w:ascii="Arial" w:hAnsi="Arial" w:cs="Arial"/>
          <w:sz w:val="20"/>
          <w:szCs w:val="20"/>
        </w:rPr>
        <w:t>.</w:t>
      </w:r>
      <w:r w:rsidR="005A5F73" w:rsidRPr="00DF2C99">
        <w:rPr>
          <w:rFonts w:ascii="Arial" w:hAnsi="Arial" w:cs="Arial"/>
          <w:sz w:val="20"/>
          <w:szCs w:val="20"/>
        </w:rPr>
        <w:t xml:space="preserve"> </w:t>
      </w:r>
      <w:r w:rsidR="00B57BD8" w:rsidRPr="000B23D2">
        <w:rPr>
          <w:rFonts w:ascii="Arial" w:hAnsi="Arial" w:cs="Arial"/>
          <w:bCs/>
          <w:sz w:val="20"/>
          <w:szCs w:val="20"/>
        </w:rPr>
        <w:t xml:space="preserve">Para más detalles técnicos, consultar el </w:t>
      </w:r>
      <w:hyperlink r:id="rId13" w:history="1">
        <w:r w:rsidR="00B57BD8" w:rsidRPr="00C007ED">
          <w:rPr>
            <w:rStyle w:val="Hipervnculo"/>
            <w:rFonts w:ascii="Arial" w:hAnsi="Arial" w:cs="Arial"/>
            <w:sz w:val="20"/>
            <w:szCs w:val="20"/>
          </w:rPr>
          <w:t>reporte de resultados</w:t>
        </w:r>
      </w:hyperlink>
      <w:r w:rsidR="00B57BD8">
        <w:rPr>
          <w:rFonts w:ascii="Arial" w:hAnsi="Arial" w:cs="Arial"/>
          <w:sz w:val="20"/>
          <w:szCs w:val="20"/>
        </w:rPr>
        <w:t>.</w:t>
      </w:r>
    </w:p>
    <w:p w14:paraId="147D32BD" w14:textId="77777777" w:rsidR="006F7341" w:rsidRPr="00DF2C99" w:rsidRDefault="006F7341" w:rsidP="00C16965">
      <w:pPr>
        <w:pStyle w:val="NormalWeb"/>
        <w:ind w:left="142"/>
        <w:contextualSpacing/>
        <w:jc w:val="both"/>
        <w:rPr>
          <w:rFonts w:ascii="Arial" w:hAnsi="Arial" w:cs="Arial"/>
          <w:sz w:val="18"/>
          <w:szCs w:val="18"/>
        </w:rPr>
      </w:pPr>
    </w:p>
    <w:p w14:paraId="4638CB2C" w14:textId="3DB78E0D" w:rsidR="00F44194" w:rsidRDefault="00434F65" w:rsidP="00E86CF1">
      <w:pPr>
        <w:pStyle w:val="NormalWeb"/>
        <w:contextualSpacing/>
        <w:jc w:val="center"/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</w:pP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>La</w:t>
      </w:r>
      <w:r w:rsidR="001A4D8A"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 información </w:t>
      </w: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estadística y geográfica que genera el </w:t>
      </w:r>
      <w:r w:rsidR="00D33F74" w:rsidRPr="00D33F74">
        <w:rPr>
          <w:rFonts w:ascii="Arial" w:hAnsi="Arial" w:cs="Arial"/>
          <w:i/>
          <w:iCs/>
          <w:smallCaps/>
          <w:color w:val="454545" w:themeColor="background2" w:themeShade="80"/>
          <w:sz w:val="20"/>
          <w:szCs w:val="20"/>
          <w:lang w:val="es-ES_tradnl"/>
        </w:rPr>
        <w:t>inegi</w:t>
      </w: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 </w:t>
      </w:r>
      <w:r w:rsidR="001A4D8A"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es </w:t>
      </w: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un bien público y </w:t>
      </w:r>
      <w:r w:rsidR="00F02D3F"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nos </w:t>
      </w: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permite </w:t>
      </w:r>
    </w:p>
    <w:p w14:paraId="53F1F687" w14:textId="0E14922F" w:rsidR="00426955" w:rsidRPr="004F33B4" w:rsidRDefault="00434F65" w:rsidP="00E86CF1">
      <w:pPr>
        <w:pStyle w:val="NormalWeb"/>
        <w:contextualSpacing/>
        <w:jc w:val="center"/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</w:pP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>a</w:t>
      </w:r>
      <w:r w:rsidR="001A4D8A"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 todas y </w:t>
      </w: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a </w:t>
      </w:r>
      <w:r w:rsidR="001A4D8A"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>todos tom</w:t>
      </w: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ar </w:t>
      </w:r>
      <w:r w:rsidR="001A4D8A"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 xml:space="preserve">mejores decisiones. </w:t>
      </w: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>¡</w:t>
      </w:r>
      <w:r w:rsidR="002703C7"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>Conócela, úsala y compártela</w:t>
      </w:r>
      <w:r w:rsidRPr="004F33B4">
        <w:rPr>
          <w:rFonts w:ascii="Arial" w:hAnsi="Arial" w:cs="Arial"/>
          <w:i/>
          <w:iCs/>
          <w:color w:val="454545" w:themeColor="background2" w:themeShade="80"/>
          <w:sz w:val="20"/>
          <w:szCs w:val="20"/>
          <w:lang w:val="es-ES_tradnl"/>
        </w:rPr>
        <w:t>!</w:t>
      </w:r>
    </w:p>
    <w:p w14:paraId="4BECDCCA" w14:textId="3A5E0CAB" w:rsidR="00C77D26" w:rsidRPr="00F76AC8" w:rsidRDefault="00C77D26" w:rsidP="00E86CF1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rFonts w:cs="Arial"/>
          <w:noProof/>
        </w:rPr>
        <w:drawing>
          <wp:inline distT="0" distB="0" distL="0" distR="0" wp14:anchorId="00DB3631" wp14:editId="48C403B1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rFonts w:cs="Arial"/>
          <w:noProof/>
        </w:rPr>
        <w:t xml:space="preserve"> </w:t>
      </w:r>
      <w:r w:rsidRPr="00642716">
        <w:rPr>
          <w:rFonts w:cs="Arial"/>
          <w:noProof/>
        </w:rPr>
        <w:drawing>
          <wp:inline distT="0" distB="0" distL="0" distR="0" wp14:anchorId="3564D857" wp14:editId="455D69FA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rFonts w:cs="Arial"/>
          <w:noProof/>
        </w:rPr>
        <w:t xml:space="preserve"> </w:t>
      </w:r>
      <w:r w:rsidRPr="00642716">
        <w:rPr>
          <w:rFonts w:cs="Arial"/>
          <w:noProof/>
        </w:rPr>
        <w:drawing>
          <wp:inline distT="0" distB="0" distL="0" distR="0" wp14:anchorId="53782F1A" wp14:editId="22C04680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rFonts w:cs="Arial"/>
          <w:noProof/>
        </w:rPr>
        <w:t xml:space="preserve"> </w:t>
      </w:r>
      <w:r w:rsidRPr="00642716">
        <w:rPr>
          <w:rFonts w:cs="Arial"/>
          <w:noProof/>
        </w:rPr>
        <w:drawing>
          <wp:inline distT="0" distB="0" distL="0" distR="0" wp14:anchorId="42AAFFC7" wp14:editId="5DE12E76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rFonts w:cs="Arial"/>
          <w:noProof/>
        </w:rPr>
        <w:t xml:space="preserve"> </w:t>
      </w:r>
      <w:r w:rsidR="009000B9">
        <w:rPr>
          <w:rFonts w:cs="Arial"/>
          <w:noProof/>
        </w:rPr>
        <w:t xml:space="preserve">   </w:t>
      </w:r>
      <w:r w:rsidRPr="00642716">
        <w:rPr>
          <w:rFonts w:cs="Arial"/>
          <w:noProof/>
        </w:rPr>
        <w:t xml:space="preserve"> </w:t>
      </w:r>
      <w:r w:rsidRPr="00642716">
        <w:rPr>
          <w:rFonts w:cs="Arial"/>
          <w:noProof/>
        </w:rPr>
        <w:drawing>
          <wp:inline distT="0" distB="0" distL="0" distR="0" wp14:anchorId="24C2727E" wp14:editId="0EEC0AC5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7D26" w:rsidRPr="00F76AC8" w:rsidSect="00FD1780">
      <w:headerReference w:type="default" r:id="rId24"/>
      <w:pgSz w:w="12240" w:h="15840"/>
      <w:pgMar w:top="1891" w:right="1080" w:bottom="1276" w:left="1134" w:header="284" w:footer="7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A33F4" w14:textId="77777777" w:rsidR="00AD52F6" w:rsidRDefault="00AD52F6" w:rsidP="002019EF">
      <w:r>
        <w:separator/>
      </w:r>
    </w:p>
  </w:endnote>
  <w:endnote w:type="continuationSeparator" w:id="0">
    <w:p w14:paraId="2A5A2672" w14:textId="77777777" w:rsidR="00AD52F6" w:rsidRDefault="00AD52F6" w:rsidP="002019EF">
      <w:r>
        <w:continuationSeparator/>
      </w:r>
    </w:p>
  </w:endnote>
  <w:endnote w:type="continuationNotice" w:id="1">
    <w:p w14:paraId="0E4943AB" w14:textId="77777777" w:rsidR="00AD52F6" w:rsidRDefault="00AD52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2C6DA" w14:textId="77777777" w:rsidR="00AD52F6" w:rsidRDefault="00AD52F6" w:rsidP="002019EF">
      <w:r>
        <w:separator/>
      </w:r>
    </w:p>
  </w:footnote>
  <w:footnote w:type="continuationSeparator" w:id="0">
    <w:p w14:paraId="3028E384" w14:textId="77777777" w:rsidR="00AD52F6" w:rsidRDefault="00AD52F6" w:rsidP="002019EF">
      <w:r>
        <w:continuationSeparator/>
      </w:r>
    </w:p>
  </w:footnote>
  <w:footnote w:type="continuationNotice" w:id="1">
    <w:p w14:paraId="274FDB71" w14:textId="77777777" w:rsidR="00AD52F6" w:rsidRDefault="00AD52F6"/>
  </w:footnote>
  <w:footnote w:id="2">
    <w:p w14:paraId="3FA1B6C5" w14:textId="39F948E2" w:rsidR="00823317" w:rsidRPr="00ED192C" w:rsidRDefault="00823317">
      <w:pPr>
        <w:pStyle w:val="Textonotapie"/>
        <w:rPr>
          <w:rFonts w:ascii="Arial" w:hAnsi="Arial" w:cs="Arial"/>
          <w:sz w:val="16"/>
          <w:szCs w:val="16"/>
        </w:rPr>
      </w:pPr>
      <w:r w:rsidRPr="00ED192C">
        <w:rPr>
          <w:rStyle w:val="Refdenotaalpie"/>
          <w:rFonts w:ascii="Arial" w:hAnsi="Arial" w:cs="Arial"/>
          <w:sz w:val="16"/>
          <w:szCs w:val="16"/>
        </w:rPr>
        <w:footnoteRef/>
      </w:r>
      <w:r w:rsidRPr="00ED192C">
        <w:rPr>
          <w:rFonts w:ascii="Arial" w:hAnsi="Arial" w:cs="Arial"/>
          <w:sz w:val="16"/>
          <w:szCs w:val="16"/>
        </w:rPr>
        <w:t xml:space="preserve"> Se hace referencia al Valor Agregado Bruto.</w:t>
      </w:r>
    </w:p>
  </w:footnote>
  <w:footnote w:id="3">
    <w:p w14:paraId="6D4DF448" w14:textId="014E0D4D" w:rsidR="00823317" w:rsidRPr="00ED192C" w:rsidRDefault="00823317">
      <w:pPr>
        <w:pStyle w:val="Textonotapie"/>
        <w:rPr>
          <w:rFonts w:ascii="Arial" w:hAnsi="Arial" w:cs="Arial"/>
          <w:sz w:val="16"/>
          <w:szCs w:val="16"/>
        </w:rPr>
      </w:pPr>
      <w:r w:rsidRPr="00ED192C">
        <w:rPr>
          <w:rStyle w:val="Refdenotaalpie"/>
          <w:rFonts w:ascii="Arial" w:hAnsi="Arial" w:cs="Arial"/>
          <w:sz w:val="16"/>
          <w:szCs w:val="16"/>
        </w:rPr>
        <w:footnoteRef/>
      </w:r>
      <w:r w:rsidRPr="00ED192C">
        <w:rPr>
          <w:rFonts w:ascii="Arial" w:hAnsi="Arial" w:cs="Arial"/>
          <w:sz w:val="16"/>
          <w:szCs w:val="16"/>
        </w:rPr>
        <w:t xml:space="preserve"> Valores expresados en un año de referencia (en este caso, 2018) para eliminar el efecto inflacionario.</w:t>
      </w:r>
    </w:p>
  </w:footnote>
  <w:footnote w:id="4">
    <w:p w14:paraId="1F1844E4" w14:textId="181F72C6" w:rsidR="00CB1361" w:rsidRPr="00ED192C" w:rsidRDefault="00CB1361" w:rsidP="00FD1780">
      <w:pPr>
        <w:pStyle w:val="Textonotapie"/>
        <w:ind w:left="142" w:hanging="142"/>
        <w:rPr>
          <w:rFonts w:ascii="Arial" w:hAnsi="Arial" w:cs="Arial"/>
          <w:sz w:val="16"/>
          <w:szCs w:val="16"/>
        </w:rPr>
      </w:pPr>
      <w:r w:rsidRPr="00ED192C">
        <w:rPr>
          <w:rStyle w:val="Refdenotaalpie"/>
          <w:rFonts w:ascii="Arial" w:hAnsi="Arial" w:cs="Arial"/>
          <w:sz w:val="16"/>
          <w:szCs w:val="16"/>
        </w:rPr>
        <w:footnoteRef/>
      </w:r>
      <w:r w:rsidRPr="00ED192C">
        <w:rPr>
          <w:rFonts w:ascii="Arial" w:hAnsi="Arial" w:cs="Arial"/>
          <w:sz w:val="16"/>
          <w:szCs w:val="16"/>
        </w:rPr>
        <w:t xml:space="preserve"> Para su elaboración, se considera el Marco de Estadísticas Culturales 2009 de la Organización de las Naciones Unidas para la Educación, la Ciencia y la Cultura.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DC8B8" w14:textId="3BDDEA23" w:rsidR="00B24BE8" w:rsidRPr="001D4042" w:rsidRDefault="00C24189" w:rsidP="00762325">
    <w:pPr>
      <w:pStyle w:val="Encabezado"/>
      <w:ind w:left="-142" w:right="157"/>
      <w:jc w:val="right"/>
      <w:rPr>
        <w:rFonts w:ascii="Arial Black" w:hAnsi="Arial Black" w:cs="Arial"/>
        <w:b/>
        <w:color w:val="00BFB3"/>
        <w:sz w:val="24"/>
        <w:szCs w:val="24"/>
      </w:rPr>
    </w:pPr>
    <w:r w:rsidRPr="00C24189">
      <w:rPr>
        <w:rFonts w:ascii="Arial Black" w:hAnsi="Arial Black"/>
        <w:noProof/>
        <w:color w:val="FFFFFF" w:themeColor="background1"/>
        <w:sz w:val="24"/>
        <w:szCs w:val="24"/>
      </w:rPr>
      <w:drawing>
        <wp:anchor distT="0" distB="0" distL="114300" distR="114300" simplePos="0" relativeHeight="251662336" behindDoc="1" locked="0" layoutInCell="1" allowOverlap="1" wp14:anchorId="0B9C808E" wp14:editId="39524116">
          <wp:simplePos x="0" y="0"/>
          <wp:positionH relativeFrom="page">
            <wp:posOffset>0</wp:posOffset>
          </wp:positionH>
          <wp:positionV relativeFrom="paragraph">
            <wp:posOffset>-180340</wp:posOffset>
          </wp:positionV>
          <wp:extent cx="7761600" cy="1260000"/>
          <wp:effectExtent l="0" t="0" r="0" b="0"/>
          <wp:wrapNone/>
          <wp:docPr id="150185885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1600" cy="12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E73DE" w:rsidRPr="00C24189">
      <w:rPr>
        <w:rFonts w:ascii="Arial Black" w:hAnsi="Arial Black" w:cs="Arial"/>
        <w:b/>
        <w:color w:val="FFFFFF" w:themeColor="background1"/>
        <w:sz w:val="24"/>
        <w:szCs w:val="24"/>
      </w:rPr>
      <w:t>C</w:t>
    </w:r>
    <w:r w:rsidR="00762325">
      <w:rPr>
        <w:rFonts w:ascii="Arial Black" w:hAnsi="Arial Black" w:cs="Arial"/>
        <w:b/>
        <w:color w:val="FFFFFF" w:themeColor="background1"/>
        <w:sz w:val="24"/>
        <w:szCs w:val="24"/>
      </w:rPr>
      <w:t>O</w:t>
    </w:r>
    <w:r w:rsidR="009E73DE" w:rsidRPr="00C24189">
      <w:rPr>
        <w:rFonts w:ascii="Arial Black" w:hAnsi="Arial Black" w:cs="Arial"/>
        <w:b/>
        <w:color w:val="FFFFFF" w:themeColor="background1"/>
        <w:sz w:val="24"/>
        <w:szCs w:val="24"/>
      </w:rPr>
      <w:t>MUNICADO DE PRENSA</w:t>
    </w:r>
    <w:r w:rsidR="00D1016E">
      <w:rPr>
        <w:rFonts w:ascii="Arial Black" w:hAnsi="Arial Black" w:cs="Arial"/>
        <w:b/>
        <w:color w:val="FFFFFF" w:themeColor="background1"/>
        <w:sz w:val="24"/>
        <w:szCs w:val="24"/>
      </w:rPr>
      <w:t xml:space="preserve"> 144</w:t>
    </w:r>
    <w:r w:rsidR="00867F00">
      <w:rPr>
        <w:rFonts w:ascii="Arial Black" w:hAnsi="Arial Black" w:cs="Arial"/>
        <w:b/>
        <w:color w:val="FFFFFF" w:themeColor="background1"/>
        <w:sz w:val="24"/>
        <w:szCs w:val="24"/>
      </w:rPr>
      <w:t>/2</w:t>
    </w:r>
    <w:r w:rsidR="00EF78BD">
      <w:rPr>
        <w:rFonts w:ascii="Arial Black" w:hAnsi="Arial Black" w:cs="Arial"/>
        <w:b/>
        <w:color w:val="FFFFFF" w:themeColor="background1"/>
        <w:sz w:val="24"/>
        <w:szCs w:val="24"/>
      </w:rPr>
      <w:t>5</w:t>
    </w:r>
  </w:p>
  <w:p w14:paraId="0A95E7A1" w14:textId="145AAAE0" w:rsidR="00C24189" w:rsidRDefault="00C24189" w:rsidP="008837F4">
    <w:pPr>
      <w:pStyle w:val="Encabezado"/>
      <w:ind w:left="-142"/>
      <w:jc w:val="center"/>
      <w:rPr>
        <w:rFonts w:ascii="Arial" w:hAnsi="Arial" w:cs="Arial"/>
        <w:b/>
        <w:color w:val="404040" w:themeColor="text1" w:themeTint="BF"/>
        <w:sz w:val="24"/>
        <w:szCs w:val="24"/>
      </w:rPr>
    </w:pPr>
    <w:r w:rsidRPr="001D4042">
      <w:rPr>
        <w:noProof/>
        <w:color w:val="404040" w:themeColor="text1" w:themeTint="BF"/>
        <w:sz w:val="24"/>
        <w:szCs w:val="24"/>
      </w:rPr>
      <w:drawing>
        <wp:anchor distT="0" distB="0" distL="114300" distR="114300" simplePos="0" relativeHeight="251659264" behindDoc="0" locked="0" layoutInCell="1" allowOverlap="1" wp14:anchorId="5F87881C" wp14:editId="2F558D3F">
          <wp:simplePos x="0" y="0"/>
          <wp:positionH relativeFrom="page">
            <wp:posOffset>783590</wp:posOffset>
          </wp:positionH>
          <wp:positionV relativeFrom="paragraph">
            <wp:posOffset>52705</wp:posOffset>
          </wp:positionV>
          <wp:extent cx="1590675" cy="309245"/>
          <wp:effectExtent l="0" t="0" r="9525" b="0"/>
          <wp:wrapSquare wrapText="bothSides"/>
          <wp:docPr id="467677421" name="Imagen 4676774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3360168" name="Imagen 2053360168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7" r="-3424"/>
                  <a:stretch/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C5C716" w14:textId="77777777" w:rsidR="00797204" w:rsidRDefault="00797204" w:rsidP="008837F4">
    <w:pPr>
      <w:pStyle w:val="Encabezado"/>
      <w:ind w:left="-142" w:right="159"/>
      <w:jc w:val="right"/>
      <w:rPr>
        <w:rFonts w:ascii="Arial" w:hAnsi="Arial" w:cs="Arial"/>
        <w:b/>
        <w:color w:val="404040" w:themeColor="text1" w:themeTint="BF"/>
        <w:sz w:val="24"/>
        <w:szCs w:val="24"/>
      </w:rPr>
    </w:pPr>
    <w:r>
      <w:rPr>
        <w:rFonts w:ascii="Arial" w:hAnsi="Arial" w:cs="Arial"/>
        <w:b/>
        <w:color w:val="404040" w:themeColor="text1" w:themeTint="BF"/>
        <w:sz w:val="24"/>
        <w:szCs w:val="24"/>
      </w:rPr>
      <w:t>CUENTA SATÉLITE DE LA CULTURA</w:t>
    </w:r>
  </w:p>
  <w:p w14:paraId="409D147B" w14:textId="1AB18EF3" w:rsidR="00B24BE8" w:rsidRPr="001D4042" w:rsidRDefault="00797204" w:rsidP="008837F4">
    <w:pPr>
      <w:pStyle w:val="Encabezado"/>
      <w:ind w:left="-142" w:right="159"/>
      <w:jc w:val="right"/>
      <w:rPr>
        <w:rFonts w:ascii="Arial" w:hAnsi="Arial" w:cs="Arial"/>
        <w:b/>
        <w:color w:val="404040" w:themeColor="text1" w:themeTint="BF"/>
        <w:sz w:val="24"/>
        <w:szCs w:val="24"/>
      </w:rPr>
    </w:pPr>
    <w:r>
      <w:rPr>
        <w:rFonts w:ascii="Arial" w:hAnsi="Arial" w:cs="Arial"/>
        <w:b/>
        <w:color w:val="404040" w:themeColor="text1" w:themeTint="BF"/>
        <w:sz w:val="24"/>
        <w:szCs w:val="24"/>
      </w:rPr>
      <w:t xml:space="preserve"> DE MÉXICO</w:t>
    </w:r>
    <w:r w:rsidR="00EF78BD">
      <w:rPr>
        <w:rFonts w:ascii="Arial" w:hAnsi="Arial" w:cs="Arial"/>
        <w:b/>
        <w:color w:val="404040" w:themeColor="text1" w:themeTint="BF"/>
        <w:sz w:val="24"/>
        <w:szCs w:val="24"/>
      </w:rPr>
      <w:t xml:space="preserve"> (</w:t>
    </w:r>
    <w:r>
      <w:rPr>
        <w:rFonts w:ascii="Arial" w:hAnsi="Arial" w:cs="Arial"/>
        <w:b/>
        <w:color w:val="404040" w:themeColor="text1" w:themeTint="BF"/>
        <w:sz w:val="24"/>
        <w:szCs w:val="24"/>
      </w:rPr>
      <w:t>CSCM</w:t>
    </w:r>
    <w:r w:rsidR="00EF78BD">
      <w:rPr>
        <w:rFonts w:ascii="Arial" w:hAnsi="Arial" w:cs="Arial"/>
        <w:b/>
        <w:color w:val="404040" w:themeColor="text1" w:themeTint="BF"/>
        <w:sz w:val="24"/>
        <w:szCs w:val="24"/>
      </w:rPr>
      <w:t>)</w:t>
    </w:r>
  </w:p>
  <w:p w14:paraId="3D728478" w14:textId="723D252D" w:rsidR="00D76234" w:rsidRPr="001D4042" w:rsidRDefault="008837F4" w:rsidP="008837F4">
    <w:pPr>
      <w:pStyle w:val="Encabezado"/>
      <w:tabs>
        <w:tab w:val="clear" w:pos="4419"/>
        <w:tab w:val="clear" w:pos="8838"/>
      </w:tabs>
      <w:ind w:left="-142" w:right="159"/>
      <w:jc w:val="right"/>
      <w:rPr>
        <w:rFonts w:ascii="Arial" w:hAnsi="Arial" w:cs="Arial"/>
        <w:bCs/>
        <w:color w:val="404040" w:themeColor="text1" w:themeTint="BF"/>
        <w:sz w:val="24"/>
        <w:szCs w:val="24"/>
      </w:rPr>
    </w:pPr>
    <w:r>
      <w:rPr>
        <w:rFonts w:ascii="Arial" w:hAnsi="Arial" w:cs="Arial"/>
        <w:bCs/>
        <w:color w:val="404040" w:themeColor="text1" w:themeTint="BF"/>
        <w:sz w:val="24"/>
        <w:szCs w:val="24"/>
      </w:rPr>
      <w:tab/>
    </w:r>
    <w:r>
      <w:rPr>
        <w:rFonts w:ascii="Arial" w:hAnsi="Arial" w:cs="Arial"/>
        <w:bCs/>
        <w:color w:val="404040" w:themeColor="text1" w:themeTint="BF"/>
        <w:sz w:val="24"/>
        <w:szCs w:val="24"/>
      </w:rPr>
      <w:tab/>
    </w:r>
    <w:r>
      <w:rPr>
        <w:rFonts w:ascii="Arial" w:hAnsi="Arial" w:cs="Arial"/>
        <w:bCs/>
        <w:color w:val="404040" w:themeColor="text1" w:themeTint="BF"/>
        <w:sz w:val="24"/>
        <w:szCs w:val="24"/>
      </w:rPr>
      <w:tab/>
    </w:r>
    <w:r w:rsidR="00797204">
      <w:rPr>
        <w:rFonts w:ascii="Arial" w:hAnsi="Arial" w:cs="Arial"/>
        <w:bCs/>
        <w:color w:val="404040" w:themeColor="text1" w:themeTint="BF"/>
        <w:sz w:val="24"/>
        <w:szCs w:val="24"/>
      </w:rPr>
      <w:t>1</w:t>
    </w:r>
    <w:r w:rsidR="00EF78BD">
      <w:rPr>
        <w:rFonts w:ascii="Arial" w:hAnsi="Arial" w:cs="Arial"/>
        <w:bCs/>
        <w:color w:val="404040" w:themeColor="text1" w:themeTint="BF"/>
        <w:sz w:val="24"/>
        <w:szCs w:val="24"/>
      </w:rPr>
      <w:t>9</w:t>
    </w:r>
    <w:r w:rsidR="00B24BE8" w:rsidRPr="001D4042">
      <w:rPr>
        <w:rFonts w:ascii="Arial" w:hAnsi="Arial" w:cs="Arial"/>
        <w:bCs/>
        <w:color w:val="404040" w:themeColor="text1" w:themeTint="BF"/>
        <w:sz w:val="24"/>
        <w:szCs w:val="24"/>
      </w:rPr>
      <w:t xml:space="preserve"> de </w:t>
    </w:r>
    <w:r w:rsidR="00797204">
      <w:rPr>
        <w:rFonts w:ascii="Arial" w:hAnsi="Arial" w:cs="Arial"/>
        <w:bCs/>
        <w:color w:val="404040" w:themeColor="text1" w:themeTint="BF"/>
        <w:sz w:val="24"/>
        <w:szCs w:val="24"/>
      </w:rPr>
      <w:t>noviembre</w:t>
    </w:r>
    <w:r w:rsidR="00B24BE8" w:rsidRPr="001D4042">
      <w:rPr>
        <w:rFonts w:ascii="Arial" w:hAnsi="Arial" w:cs="Arial"/>
        <w:bCs/>
        <w:color w:val="404040" w:themeColor="text1" w:themeTint="BF"/>
        <w:sz w:val="24"/>
        <w:szCs w:val="24"/>
      </w:rPr>
      <w:t xml:space="preserve"> de 202</w:t>
    </w:r>
    <w:r w:rsidR="00EF78BD">
      <w:rPr>
        <w:rFonts w:ascii="Arial" w:hAnsi="Arial" w:cs="Arial"/>
        <w:bCs/>
        <w:color w:val="404040" w:themeColor="text1" w:themeTint="BF"/>
        <w:sz w:val="24"/>
        <w:szCs w:val="24"/>
      </w:rPr>
      <w:t>5</w:t>
    </w:r>
  </w:p>
  <w:p w14:paraId="270ED26D" w14:textId="1DB439A9" w:rsidR="00D76234" w:rsidRDefault="00D76234" w:rsidP="008837F4">
    <w:pPr>
      <w:pStyle w:val="Encabezado"/>
      <w:ind w:left="-142" w:right="159"/>
      <w:jc w:val="right"/>
      <w:rPr>
        <w:rFonts w:ascii="Arial" w:hAnsi="Arial" w:cs="Arial"/>
        <w:bCs/>
        <w:color w:val="404040" w:themeColor="text1" w:themeTint="BF"/>
        <w:sz w:val="24"/>
        <w:szCs w:val="24"/>
      </w:rPr>
    </w:pPr>
    <w:r w:rsidRPr="00495EF8">
      <w:rPr>
        <w:rFonts w:ascii="Arial" w:hAnsi="Arial" w:cs="Arial"/>
        <w:bCs/>
        <w:color w:val="404040" w:themeColor="text1" w:themeTint="BF"/>
        <w:sz w:val="24"/>
        <w:szCs w:val="24"/>
      </w:rPr>
      <w:t xml:space="preserve">Página </w:t>
    </w:r>
    <w:r w:rsidRPr="00495EF8">
      <w:rPr>
        <w:rFonts w:ascii="Arial" w:hAnsi="Arial" w:cs="Arial"/>
        <w:bCs/>
        <w:color w:val="404040" w:themeColor="text1" w:themeTint="BF"/>
        <w:sz w:val="24"/>
        <w:szCs w:val="24"/>
      </w:rPr>
      <w:fldChar w:fldCharType="begin"/>
    </w:r>
    <w:r w:rsidRPr="00495EF8">
      <w:rPr>
        <w:rFonts w:ascii="Arial" w:hAnsi="Arial" w:cs="Arial"/>
        <w:bCs/>
        <w:color w:val="404040" w:themeColor="text1" w:themeTint="BF"/>
        <w:sz w:val="24"/>
        <w:szCs w:val="24"/>
      </w:rPr>
      <w:instrText xml:space="preserve"> PAGE  \* Arabic </w:instrText>
    </w:r>
    <w:r w:rsidRPr="00495EF8">
      <w:rPr>
        <w:rFonts w:ascii="Arial" w:hAnsi="Arial" w:cs="Arial"/>
        <w:bCs/>
        <w:color w:val="404040" w:themeColor="text1" w:themeTint="BF"/>
        <w:sz w:val="24"/>
        <w:szCs w:val="24"/>
      </w:rPr>
      <w:fldChar w:fldCharType="separate"/>
    </w:r>
    <w:r w:rsidRPr="00495EF8">
      <w:rPr>
        <w:rFonts w:ascii="Arial" w:hAnsi="Arial" w:cs="Arial"/>
        <w:bCs/>
        <w:color w:val="404040" w:themeColor="text1" w:themeTint="BF"/>
      </w:rPr>
      <w:t>1</w:t>
    </w:r>
    <w:r w:rsidRPr="00495EF8">
      <w:rPr>
        <w:rFonts w:ascii="Arial" w:hAnsi="Arial" w:cs="Arial"/>
        <w:bCs/>
        <w:color w:val="404040" w:themeColor="text1" w:themeTint="BF"/>
        <w:sz w:val="24"/>
        <w:szCs w:val="24"/>
      </w:rPr>
      <w:fldChar w:fldCharType="end"/>
    </w:r>
    <w:r w:rsidRPr="00495EF8">
      <w:rPr>
        <w:rFonts w:ascii="Arial" w:hAnsi="Arial" w:cs="Arial"/>
        <w:bCs/>
        <w:color w:val="404040" w:themeColor="text1" w:themeTint="BF"/>
        <w:sz w:val="24"/>
        <w:szCs w:val="24"/>
      </w:rPr>
      <w:t>/</w:t>
    </w:r>
    <w:r w:rsidR="00377C25">
      <w:rPr>
        <w:rFonts w:ascii="Arial" w:hAnsi="Arial" w:cs="Arial"/>
        <w:bCs/>
        <w:color w:val="404040" w:themeColor="text1" w:themeTint="BF"/>
        <w:sz w:val="24"/>
        <w:szCs w:val="24"/>
      </w:rPr>
      <w:t>3</w:t>
    </w:r>
  </w:p>
  <w:p w14:paraId="1C287BEE" w14:textId="77777777" w:rsidR="00D83BC7" w:rsidRPr="00495EF8" w:rsidRDefault="00D83BC7" w:rsidP="008837F4">
    <w:pPr>
      <w:pStyle w:val="Encabezado"/>
      <w:ind w:left="-142" w:right="159"/>
      <w:jc w:val="right"/>
      <w:rPr>
        <w:rFonts w:ascii="Arial" w:hAnsi="Arial" w:cs="Arial"/>
        <w:bCs/>
        <w:color w:val="404040" w:themeColor="text1" w:themeTint="BF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405" w:hanging="284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1272" w:hanging="284"/>
      </w:pPr>
    </w:lvl>
    <w:lvl w:ilvl="2">
      <w:numFmt w:val="bullet"/>
      <w:lvlText w:val="•"/>
      <w:lvlJc w:val="left"/>
      <w:pPr>
        <w:ind w:left="2140" w:hanging="284"/>
      </w:pPr>
    </w:lvl>
    <w:lvl w:ilvl="3">
      <w:numFmt w:val="bullet"/>
      <w:lvlText w:val="•"/>
      <w:lvlJc w:val="left"/>
      <w:pPr>
        <w:ind w:left="3007" w:hanging="284"/>
      </w:pPr>
    </w:lvl>
    <w:lvl w:ilvl="4">
      <w:numFmt w:val="bullet"/>
      <w:lvlText w:val="•"/>
      <w:lvlJc w:val="left"/>
      <w:pPr>
        <w:ind w:left="3875" w:hanging="284"/>
      </w:pPr>
    </w:lvl>
    <w:lvl w:ilvl="5">
      <w:numFmt w:val="bullet"/>
      <w:lvlText w:val="•"/>
      <w:lvlJc w:val="left"/>
      <w:pPr>
        <w:ind w:left="4742" w:hanging="284"/>
      </w:pPr>
    </w:lvl>
    <w:lvl w:ilvl="6">
      <w:numFmt w:val="bullet"/>
      <w:lvlText w:val="•"/>
      <w:lvlJc w:val="left"/>
      <w:pPr>
        <w:ind w:left="5610" w:hanging="284"/>
      </w:pPr>
    </w:lvl>
    <w:lvl w:ilvl="7">
      <w:numFmt w:val="bullet"/>
      <w:lvlText w:val="•"/>
      <w:lvlJc w:val="left"/>
      <w:pPr>
        <w:ind w:left="6477" w:hanging="284"/>
      </w:pPr>
    </w:lvl>
    <w:lvl w:ilvl="8">
      <w:numFmt w:val="bullet"/>
      <w:lvlText w:val="•"/>
      <w:lvlJc w:val="left"/>
      <w:pPr>
        <w:ind w:left="7345" w:hanging="284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"/>
      <w:lvlJc w:val="left"/>
      <w:pPr>
        <w:ind w:left="1173" w:hanging="360"/>
      </w:pPr>
      <w:rPr>
        <w:rFonts w:ascii="Symbol" w:hAnsi="Symbol"/>
        <w:b w:val="0"/>
        <w:sz w:val="18"/>
      </w:rPr>
    </w:lvl>
    <w:lvl w:ilvl="1">
      <w:numFmt w:val="bullet"/>
      <w:lvlText w:val="•"/>
      <w:lvlJc w:val="left"/>
      <w:pPr>
        <w:ind w:left="1643" w:hanging="360"/>
      </w:pPr>
    </w:lvl>
    <w:lvl w:ilvl="2">
      <w:numFmt w:val="bullet"/>
      <w:lvlText w:val="•"/>
      <w:lvlJc w:val="left"/>
      <w:pPr>
        <w:ind w:left="2112" w:hanging="360"/>
      </w:pPr>
    </w:lvl>
    <w:lvl w:ilvl="3">
      <w:numFmt w:val="bullet"/>
      <w:lvlText w:val="•"/>
      <w:lvlJc w:val="left"/>
      <w:pPr>
        <w:ind w:left="2581" w:hanging="360"/>
      </w:pPr>
    </w:lvl>
    <w:lvl w:ilvl="4">
      <w:numFmt w:val="bullet"/>
      <w:lvlText w:val="•"/>
      <w:lvlJc w:val="left"/>
      <w:pPr>
        <w:ind w:left="3050" w:hanging="360"/>
      </w:pPr>
    </w:lvl>
    <w:lvl w:ilvl="5">
      <w:numFmt w:val="bullet"/>
      <w:lvlText w:val="•"/>
      <w:lvlJc w:val="left"/>
      <w:pPr>
        <w:ind w:left="3520" w:hanging="360"/>
      </w:pPr>
    </w:lvl>
    <w:lvl w:ilvl="6">
      <w:numFmt w:val="bullet"/>
      <w:lvlText w:val="•"/>
      <w:lvlJc w:val="left"/>
      <w:pPr>
        <w:ind w:left="3989" w:hanging="360"/>
      </w:pPr>
    </w:lvl>
    <w:lvl w:ilvl="7">
      <w:numFmt w:val="bullet"/>
      <w:lvlText w:val="•"/>
      <w:lvlJc w:val="left"/>
      <w:pPr>
        <w:ind w:left="4458" w:hanging="360"/>
      </w:pPr>
    </w:lvl>
    <w:lvl w:ilvl="8">
      <w:numFmt w:val="bullet"/>
      <w:lvlText w:val="•"/>
      <w:lvlJc w:val="left"/>
      <w:pPr>
        <w:ind w:left="4928" w:hanging="360"/>
      </w:pPr>
    </w:lvl>
  </w:abstractNum>
  <w:abstractNum w:abstractNumId="2" w15:restartNumberingAfterBreak="0">
    <w:nsid w:val="00000404"/>
    <w:multiLevelType w:val="multilevel"/>
    <w:tmpl w:val="FFFFFFFF"/>
    <w:lvl w:ilvl="0">
      <w:numFmt w:val="bullet"/>
      <w:lvlText w:val=""/>
      <w:lvlJc w:val="left"/>
      <w:pPr>
        <w:ind w:left="702" w:hanging="360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1511" w:hanging="360"/>
      </w:pPr>
    </w:lvl>
    <w:lvl w:ilvl="2">
      <w:numFmt w:val="bullet"/>
      <w:lvlText w:val="•"/>
      <w:lvlJc w:val="left"/>
      <w:pPr>
        <w:ind w:left="2321" w:hanging="360"/>
      </w:pPr>
    </w:lvl>
    <w:lvl w:ilvl="3">
      <w:numFmt w:val="bullet"/>
      <w:lvlText w:val="•"/>
      <w:lvlJc w:val="left"/>
      <w:pPr>
        <w:ind w:left="3131" w:hanging="360"/>
      </w:pPr>
    </w:lvl>
    <w:lvl w:ilvl="4">
      <w:numFmt w:val="bullet"/>
      <w:lvlText w:val="•"/>
      <w:lvlJc w:val="left"/>
      <w:pPr>
        <w:ind w:left="3941" w:hanging="360"/>
      </w:pPr>
    </w:lvl>
    <w:lvl w:ilvl="5">
      <w:numFmt w:val="bullet"/>
      <w:lvlText w:val="•"/>
      <w:lvlJc w:val="left"/>
      <w:pPr>
        <w:ind w:left="4751" w:hanging="360"/>
      </w:pPr>
    </w:lvl>
    <w:lvl w:ilvl="6">
      <w:numFmt w:val="bullet"/>
      <w:lvlText w:val="•"/>
      <w:lvlJc w:val="left"/>
      <w:pPr>
        <w:ind w:left="5560" w:hanging="360"/>
      </w:pPr>
    </w:lvl>
    <w:lvl w:ilvl="7">
      <w:numFmt w:val="bullet"/>
      <w:lvlText w:val="•"/>
      <w:lvlJc w:val="left"/>
      <w:pPr>
        <w:ind w:left="6370" w:hanging="360"/>
      </w:pPr>
    </w:lvl>
    <w:lvl w:ilvl="8">
      <w:numFmt w:val="bullet"/>
      <w:lvlText w:val="•"/>
      <w:lvlJc w:val="left"/>
      <w:pPr>
        <w:ind w:left="7180" w:hanging="360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"/>
      <w:lvlJc w:val="left"/>
      <w:pPr>
        <w:ind w:left="842" w:hanging="360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1665" w:hanging="360"/>
      </w:pPr>
    </w:lvl>
    <w:lvl w:ilvl="2">
      <w:numFmt w:val="bullet"/>
      <w:lvlText w:val="•"/>
      <w:lvlJc w:val="left"/>
      <w:pPr>
        <w:ind w:left="2489" w:hanging="360"/>
      </w:pPr>
    </w:lvl>
    <w:lvl w:ilvl="3">
      <w:numFmt w:val="bullet"/>
      <w:lvlText w:val="•"/>
      <w:lvlJc w:val="left"/>
      <w:pPr>
        <w:ind w:left="3313" w:hanging="360"/>
      </w:pPr>
    </w:lvl>
    <w:lvl w:ilvl="4">
      <w:numFmt w:val="bullet"/>
      <w:lvlText w:val="•"/>
      <w:lvlJc w:val="left"/>
      <w:pPr>
        <w:ind w:left="4137" w:hanging="360"/>
      </w:pPr>
    </w:lvl>
    <w:lvl w:ilvl="5">
      <w:numFmt w:val="bullet"/>
      <w:lvlText w:val="•"/>
      <w:lvlJc w:val="left"/>
      <w:pPr>
        <w:ind w:left="4961" w:hanging="360"/>
      </w:pPr>
    </w:lvl>
    <w:lvl w:ilvl="6">
      <w:numFmt w:val="bullet"/>
      <w:lvlText w:val="•"/>
      <w:lvlJc w:val="left"/>
      <w:pPr>
        <w:ind w:left="5784" w:hanging="360"/>
      </w:pPr>
    </w:lvl>
    <w:lvl w:ilvl="7">
      <w:numFmt w:val="bullet"/>
      <w:lvlText w:val="•"/>
      <w:lvlJc w:val="left"/>
      <w:pPr>
        <w:ind w:left="6608" w:hanging="360"/>
      </w:pPr>
    </w:lvl>
    <w:lvl w:ilvl="8">
      <w:numFmt w:val="bullet"/>
      <w:lvlText w:val="•"/>
      <w:lvlJc w:val="left"/>
      <w:pPr>
        <w:ind w:left="7432" w:hanging="360"/>
      </w:pPr>
    </w:lvl>
  </w:abstractNum>
  <w:abstractNum w:abstractNumId="4" w15:restartNumberingAfterBreak="0">
    <w:nsid w:val="004F7B8A"/>
    <w:multiLevelType w:val="hybridMultilevel"/>
    <w:tmpl w:val="81645C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AC1383"/>
    <w:multiLevelType w:val="hybridMultilevel"/>
    <w:tmpl w:val="7E88B570"/>
    <w:lvl w:ilvl="0" w:tplc="347622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148FF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18D2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90060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4AE4B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AA80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CE432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A8FC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161F7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A25495"/>
    <w:multiLevelType w:val="hybridMultilevel"/>
    <w:tmpl w:val="32E029D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AC2534E"/>
    <w:multiLevelType w:val="hybridMultilevel"/>
    <w:tmpl w:val="21620F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0B5EBA"/>
    <w:multiLevelType w:val="hybridMultilevel"/>
    <w:tmpl w:val="2AE28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106AE7"/>
    <w:multiLevelType w:val="hybridMultilevel"/>
    <w:tmpl w:val="40D83422"/>
    <w:lvl w:ilvl="0" w:tplc="37FC2726">
      <w:start w:val="4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7814C7"/>
    <w:multiLevelType w:val="hybridMultilevel"/>
    <w:tmpl w:val="0D98E0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467AD"/>
    <w:multiLevelType w:val="hybridMultilevel"/>
    <w:tmpl w:val="43FA5E40"/>
    <w:lvl w:ilvl="0" w:tplc="080A0001">
      <w:start w:val="1"/>
      <w:numFmt w:val="bullet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12" w15:restartNumberingAfterBreak="0">
    <w:nsid w:val="21ED42D9"/>
    <w:multiLevelType w:val="multilevel"/>
    <w:tmpl w:val="FFFFFFFF"/>
    <w:lvl w:ilvl="0">
      <w:numFmt w:val="bullet"/>
      <w:lvlText w:val=""/>
      <w:lvlJc w:val="left"/>
      <w:pPr>
        <w:ind w:left="702" w:hanging="360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1511" w:hanging="360"/>
      </w:pPr>
    </w:lvl>
    <w:lvl w:ilvl="2">
      <w:numFmt w:val="bullet"/>
      <w:lvlText w:val="•"/>
      <w:lvlJc w:val="left"/>
      <w:pPr>
        <w:ind w:left="2321" w:hanging="360"/>
      </w:pPr>
    </w:lvl>
    <w:lvl w:ilvl="3">
      <w:numFmt w:val="bullet"/>
      <w:lvlText w:val="•"/>
      <w:lvlJc w:val="left"/>
      <w:pPr>
        <w:ind w:left="3131" w:hanging="360"/>
      </w:pPr>
    </w:lvl>
    <w:lvl w:ilvl="4">
      <w:numFmt w:val="bullet"/>
      <w:lvlText w:val="•"/>
      <w:lvlJc w:val="left"/>
      <w:pPr>
        <w:ind w:left="3941" w:hanging="360"/>
      </w:pPr>
    </w:lvl>
    <w:lvl w:ilvl="5">
      <w:numFmt w:val="bullet"/>
      <w:lvlText w:val="•"/>
      <w:lvlJc w:val="left"/>
      <w:pPr>
        <w:ind w:left="4751" w:hanging="360"/>
      </w:pPr>
    </w:lvl>
    <w:lvl w:ilvl="6">
      <w:numFmt w:val="bullet"/>
      <w:lvlText w:val="•"/>
      <w:lvlJc w:val="left"/>
      <w:pPr>
        <w:ind w:left="5560" w:hanging="360"/>
      </w:pPr>
    </w:lvl>
    <w:lvl w:ilvl="7">
      <w:numFmt w:val="bullet"/>
      <w:lvlText w:val="•"/>
      <w:lvlJc w:val="left"/>
      <w:pPr>
        <w:ind w:left="6370" w:hanging="360"/>
      </w:pPr>
    </w:lvl>
    <w:lvl w:ilvl="8">
      <w:numFmt w:val="bullet"/>
      <w:lvlText w:val="•"/>
      <w:lvlJc w:val="left"/>
      <w:pPr>
        <w:ind w:left="7180" w:hanging="360"/>
      </w:pPr>
    </w:lvl>
  </w:abstractNum>
  <w:abstractNum w:abstractNumId="13" w15:restartNumberingAfterBreak="0">
    <w:nsid w:val="26CB0194"/>
    <w:multiLevelType w:val="hybridMultilevel"/>
    <w:tmpl w:val="730CF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796107"/>
    <w:multiLevelType w:val="hybridMultilevel"/>
    <w:tmpl w:val="0A32862E"/>
    <w:lvl w:ilvl="0" w:tplc="00F4DF96">
      <w:start w:val="257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F64DD8"/>
    <w:multiLevelType w:val="hybridMultilevel"/>
    <w:tmpl w:val="3662B7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1708A2"/>
    <w:multiLevelType w:val="hybridMultilevel"/>
    <w:tmpl w:val="A914D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4B2425"/>
    <w:multiLevelType w:val="hybridMultilevel"/>
    <w:tmpl w:val="D94251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83D38"/>
    <w:multiLevelType w:val="hybridMultilevel"/>
    <w:tmpl w:val="AC80330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AC33D4F"/>
    <w:multiLevelType w:val="multilevel"/>
    <w:tmpl w:val="3D8A40D0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0" w15:restartNumberingAfterBreak="0">
    <w:nsid w:val="5C502FE4"/>
    <w:multiLevelType w:val="hybridMultilevel"/>
    <w:tmpl w:val="F0D8182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E1169CC"/>
    <w:multiLevelType w:val="multilevel"/>
    <w:tmpl w:val="FFFFFFFF"/>
    <w:lvl w:ilvl="0">
      <w:numFmt w:val="bullet"/>
      <w:lvlText w:val=""/>
      <w:lvlJc w:val="left"/>
      <w:pPr>
        <w:ind w:left="702" w:hanging="360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1511" w:hanging="360"/>
      </w:pPr>
    </w:lvl>
    <w:lvl w:ilvl="2">
      <w:numFmt w:val="bullet"/>
      <w:lvlText w:val="•"/>
      <w:lvlJc w:val="left"/>
      <w:pPr>
        <w:ind w:left="2321" w:hanging="360"/>
      </w:pPr>
    </w:lvl>
    <w:lvl w:ilvl="3">
      <w:numFmt w:val="bullet"/>
      <w:lvlText w:val="•"/>
      <w:lvlJc w:val="left"/>
      <w:pPr>
        <w:ind w:left="3131" w:hanging="360"/>
      </w:pPr>
    </w:lvl>
    <w:lvl w:ilvl="4">
      <w:numFmt w:val="bullet"/>
      <w:lvlText w:val="•"/>
      <w:lvlJc w:val="left"/>
      <w:pPr>
        <w:ind w:left="3941" w:hanging="360"/>
      </w:pPr>
    </w:lvl>
    <w:lvl w:ilvl="5">
      <w:numFmt w:val="bullet"/>
      <w:lvlText w:val="•"/>
      <w:lvlJc w:val="left"/>
      <w:pPr>
        <w:ind w:left="4751" w:hanging="360"/>
      </w:pPr>
    </w:lvl>
    <w:lvl w:ilvl="6">
      <w:numFmt w:val="bullet"/>
      <w:lvlText w:val="•"/>
      <w:lvlJc w:val="left"/>
      <w:pPr>
        <w:ind w:left="5560" w:hanging="360"/>
      </w:pPr>
    </w:lvl>
    <w:lvl w:ilvl="7">
      <w:numFmt w:val="bullet"/>
      <w:lvlText w:val="•"/>
      <w:lvlJc w:val="left"/>
      <w:pPr>
        <w:ind w:left="6370" w:hanging="360"/>
      </w:pPr>
    </w:lvl>
    <w:lvl w:ilvl="8">
      <w:numFmt w:val="bullet"/>
      <w:lvlText w:val="•"/>
      <w:lvlJc w:val="left"/>
      <w:pPr>
        <w:ind w:left="7180" w:hanging="360"/>
      </w:pPr>
    </w:lvl>
  </w:abstractNum>
  <w:abstractNum w:abstractNumId="22" w15:restartNumberingAfterBreak="0">
    <w:nsid w:val="5FEC2A17"/>
    <w:multiLevelType w:val="hybridMultilevel"/>
    <w:tmpl w:val="EAD806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DE0E96"/>
    <w:multiLevelType w:val="hybridMultilevel"/>
    <w:tmpl w:val="7084D38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91F7C13"/>
    <w:multiLevelType w:val="hybridMultilevel"/>
    <w:tmpl w:val="66507C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F2065B"/>
    <w:multiLevelType w:val="multilevel"/>
    <w:tmpl w:val="FFFFFFFF"/>
    <w:lvl w:ilvl="0">
      <w:numFmt w:val="bullet"/>
      <w:lvlText w:val=""/>
      <w:lvlJc w:val="left"/>
      <w:pPr>
        <w:ind w:left="702" w:hanging="360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1511" w:hanging="360"/>
      </w:pPr>
    </w:lvl>
    <w:lvl w:ilvl="2">
      <w:numFmt w:val="bullet"/>
      <w:lvlText w:val="•"/>
      <w:lvlJc w:val="left"/>
      <w:pPr>
        <w:ind w:left="2321" w:hanging="360"/>
      </w:pPr>
    </w:lvl>
    <w:lvl w:ilvl="3">
      <w:numFmt w:val="bullet"/>
      <w:lvlText w:val="•"/>
      <w:lvlJc w:val="left"/>
      <w:pPr>
        <w:ind w:left="3131" w:hanging="360"/>
      </w:pPr>
    </w:lvl>
    <w:lvl w:ilvl="4">
      <w:numFmt w:val="bullet"/>
      <w:lvlText w:val="•"/>
      <w:lvlJc w:val="left"/>
      <w:pPr>
        <w:ind w:left="3941" w:hanging="360"/>
      </w:pPr>
    </w:lvl>
    <w:lvl w:ilvl="5">
      <w:numFmt w:val="bullet"/>
      <w:lvlText w:val="•"/>
      <w:lvlJc w:val="left"/>
      <w:pPr>
        <w:ind w:left="4751" w:hanging="360"/>
      </w:pPr>
    </w:lvl>
    <w:lvl w:ilvl="6">
      <w:numFmt w:val="bullet"/>
      <w:lvlText w:val="•"/>
      <w:lvlJc w:val="left"/>
      <w:pPr>
        <w:ind w:left="5560" w:hanging="360"/>
      </w:pPr>
    </w:lvl>
    <w:lvl w:ilvl="7">
      <w:numFmt w:val="bullet"/>
      <w:lvlText w:val="•"/>
      <w:lvlJc w:val="left"/>
      <w:pPr>
        <w:ind w:left="6370" w:hanging="360"/>
      </w:pPr>
    </w:lvl>
    <w:lvl w:ilvl="8">
      <w:numFmt w:val="bullet"/>
      <w:lvlText w:val="•"/>
      <w:lvlJc w:val="left"/>
      <w:pPr>
        <w:ind w:left="7180" w:hanging="360"/>
      </w:pPr>
    </w:lvl>
  </w:abstractNum>
  <w:abstractNum w:abstractNumId="26" w15:restartNumberingAfterBreak="0">
    <w:nsid w:val="7D1852EF"/>
    <w:multiLevelType w:val="multilevel"/>
    <w:tmpl w:val="FFFFFFFF"/>
    <w:lvl w:ilvl="0">
      <w:numFmt w:val="bullet"/>
      <w:lvlText w:val=""/>
      <w:lvlJc w:val="left"/>
      <w:pPr>
        <w:ind w:left="702" w:hanging="360"/>
      </w:pPr>
      <w:rPr>
        <w:rFonts w:ascii="Symbol" w:hAnsi="Symbol"/>
        <w:b w:val="0"/>
        <w:sz w:val="22"/>
      </w:rPr>
    </w:lvl>
    <w:lvl w:ilvl="1">
      <w:numFmt w:val="bullet"/>
      <w:lvlText w:val="•"/>
      <w:lvlJc w:val="left"/>
      <w:pPr>
        <w:ind w:left="1511" w:hanging="360"/>
      </w:pPr>
    </w:lvl>
    <w:lvl w:ilvl="2">
      <w:numFmt w:val="bullet"/>
      <w:lvlText w:val="•"/>
      <w:lvlJc w:val="left"/>
      <w:pPr>
        <w:ind w:left="2321" w:hanging="360"/>
      </w:pPr>
    </w:lvl>
    <w:lvl w:ilvl="3">
      <w:numFmt w:val="bullet"/>
      <w:lvlText w:val="•"/>
      <w:lvlJc w:val="left"/>
      <w:pPr>
        <w:ind w:left="3131" w:hanging="360"/>
      </w:pPr>
    </w:lvl>
    <w:lvl w:ilvl="4">
      <w:numFmt w:val="bullet"/>
      <w:lvlText w:val="•"/>
      <w:lvlJc w:val="left"/>
      <w:pPr>
        <w:ind w:left="3941" w:hanging="360"/>
      </w:pPr>
    </w:lvl>
    <w:lvl w:ilvl="5">
      <w:numFmt w:val="bullet"/>
      <w:lvlText w:val="•"/>
      <w:lvlJc w:val="left"/>
      <w:pPr>
        <w:ind w:left="4751" w:hanging="360"/>
      </w:pPr>
    </w:lvl>
    <w:lvl w:ilvl="6">
      <w:numFmt w:val="bullet"/>
      <w:lvlText w:val="•"/>
      <w:lvlJc w:val="left"/>
      <w:pPr>
        <w:ind w:left="5560" w:hanging="360"/>
      </w:pPr>
    </w:lvl>
    <w:lvl w:ilvl="7">
      <w:numFmt w:val="bullet"/>
      <w:lvlText w:val="•"/>
      <w:lvlJc w:val="left"/>
      <w:pPr>
        <w:ind w:left="6370" w:hanging="360"/>
      </w:pPr>
    </w:lvl>
    <w:lvl w:ilvl="8">
      <w:numFmt w:val="bullet"/>
      <w:lvlText w:val="•"/>
      <w:lvlJc w:val="left"/>
      <w:pPr>
        <w:ind w:left="7180" w:hanging="360"/>
      </w:pPr>
    </w:lvl>
  </w:abstractNum>
  <w:abstractNum w:abstractNumId="27" w15:restartNumberingAfterBreak="0">
    <w:nsid w:val="7EF12FF6"/>
    <w:multiLevelType w:val="hybridMultilevel"/>
    <w:tmpl w:val="626AE176"/>
    <w:lvl w:ilvl="0" w:tplc="080A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num w:numId="1" w16cid:durableId="1024013392">
    <w:abstractNumId w:val="20"/>
  </w:num>
  <w:num w:numId="2" w16cid:durableId="1864250411">
    <w:abstractNumId w:val="8"/>
  </w:num>
  <w:num w:numId="3" w16cid:durableId="640695342">
    <w:abstractNumId w:val="18"/>
  </w:num>
  <w:num w:numId="4" w16cid:durableId="520434549">
    <w:abstractNumId w:val="6"/>
  </w:num>
  <w:num w:numId="5" w16cid:durableId="8723478">
    <w:abstractNumId w:val="7"/>
  </w:num>
  <w:num w:numId="6" w16cid:durableId="480969226">
    <w:abstractNumId w:val="22"/>
  </w:num>
  <w:num w:numId="7" w16cid:durableId="1849557898">
    <w:abstractNumId w:val="10"/>
  </w:num>
  <w:num w:numId="8" w16cid:durableId="1430198602">
    <w:abstractNumId w:val="5"/>
  </w:num>
  <w:num w:numId="9" w16cid:durableId="1726678288">
    <w:abstractNumId w:val="16"/>
  </w:num>
  <w:num w:numId="10" w16cid:durableId="1434865474">
    <w:abstractNumId w:val="14"/>
  </w:num>
  <w:num w:numId="11" w16cid:durableId="243537364">
    <w:abstractNumId w:val="24"/>
  </w:num>
  <w:num w:numId="12" w16cid:durableId="1570994656">
    <w:abstractNumId w:val="19"/>
  </w:num>
  <w:num w:numId="13" w16cid:durableId="1592591834">
    <w:abstractNumId w:val="13"/>
  </w:num>
  <w:num w:numId="14" w16cid:durableId="1721246383">
    <w:abstractNumId w:val="3"/>
  </w:num>
  <w:num w:numId="15" w16cid:durableId="1639728050">
    <w:abstractNumId w:val="2"/>
  </w:num>
  <w:num w:numId="16" w16cid:durableId="62527240">
    <w:abstractNumId w:val="1"/>
  </w:num>
  <w:num w:numId="17" w16cid:durableId="1233615101">
    <w:abstractNumId w:val="0"/>
  </w:num>
  <w:num w:numId="18" w16cid:durableId="2051493050">
    <w:abstractNumId w:val="15"/>
  </w:num>
  <w:num w:numId="19" w16cid:durableId="431364892">
    <w:abstractNumId w:val="11"/>
  </w:num>
  <w:num w:numId="20" w16cid:durableId="638648596">
    <w:abstractNumId w:val="27"/>
  </w:num>
  <w:num w:numId="21" w16cid:durableId="257369557">
    <w:abstractNumId w:val="21"/>
  </w:num>
  <w:num w:numId="22" w16cid:durableId="196427280">
    <w:abstractNumId w:val="12"/>
  </w:num>
  <w:num w:numId="23" w16cid:durableId="566573936">
    <w:abstractNumId w:val="25"/>
  </w:num>
  <w:num w:numId="24" w16cid:durableId="1709834493">
    <w:abstractNumId w:val="26"/>
  </w:num>
  <w:num w:numId="25" w16cid:durableId="1292780797">
    <w:abstractNumId w:val="23"/>
  </w:num>
  <w:num w:numId="26" w16cid:durableId="1233932298">
    <w:abstractNumId w:val="17"/>
  </w:num>
  <w:num w:numId="27" w16cid:durableId="1083067770">
    <w:abstractNumId w:val="4"/>
  </w:num>
  <w:num w:numId="28" w16cid:durableId="17693503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D39"/>
    <w:rsid w:val="00000033"/>
    <w:rsid w:val="000001D7"/>
    <w:rsid w:val="00000D68"/>
    <w:rsid w:val="00000E21"/>
    <w:rsid w:val="000015A8"/>
    <w:rsid w:val="00001B07"/>
    <w:rsid w:val="00002701"/>
    <w:rsid w:val="00004BE2"/>
    <w:rsid w:val="00004D59"/>
    <w:rsid w:val="0000595A"/>
    <w:rsid w:val="0000607B"/>
    <w:rsid w:val="000062D3"/>
    <w:rsid w:val="00006476"/>
    <w:rsid w:val="000064D6"/>
    <w:rsid w:val="0000694C"/>
    <w:rsid w:val="0000780B"/>
    <w:rsid w:val="00007D8A"/>
    <w:rsid w:val="0001158B"/>
    <w:rsid w:val="00012633"/>
    <w:rsid w:val="00012B20"/>
    <w:rsid w:val="00014A06"/>
    <w:rsid w:val="000157D5"/>
    <w:rsid w:val="000157F2"/>
    <w:rsid w:val="000158B5"/>
    <w:rsid w:val="00015A98"/>
    <w:rsid w:val="000167E5"/>
    <w:rsid w:val="00020923"/>
    <w:rsid w:val="000218CA"/>
    <w:rsid w:val="00023123"/>
    <w:rsid w:val="00023A00"/>
    <w:rsid w:val="00024B2D"/>
    <w:rsid w:val="000251ED"/>
    <w:rsid w:val="00025F7D"/>
    <w:rsid w:val="000260CD"/>
    <w:rsid w:val="000271DF"/>
    <w:rsid w:val="00027AA6"/>
    <w:rsid w:val="00027BD0"/>
    <w:rsid w:val="00030351"/>
    <w:rsid w:val="000310B7"/>
    <w:rsid w:val="0003124B"/>
    <w:rsid w:val="00031CB5"/>
    <w:rsid w:val="00033D20"/>
    <w:rsid w:val="00034399"/>
    <w:rsid w:val="00034FEC"/>
    <w:rsid w:val="000354C4"/>
    <w:rsid w:val="00035B93"/>
    <w:rsid w:val="000361B3"/>
    <w:rsid w:val="00037761"/>
    <w:rsid w:val="0004047E"/>
    <w:rsid w:val="000404DA"/>
    <w:rsid w:val="00040656"/>
    <w:rsid w:val="00040EA2"/>
    <w:rsid w:val="00043BD1"/>
    <w:rsid w:val="0004457D"/>
    <w:rsid w:val="000449D8"/>
    <w:rsid w:val="00044E17"/>
    <w:rsid w:val="000460E8"/>
    <w:rsid w:val="00046862"/>
    <w:rsid w:val="00046F16"/>
    <w:rsid w:val="00047454"/>
    <w:rsid w:val="00047473"/>
    <w:rsid w:val="000479B0"/>
    <w:rsid w:val="0005111F"/>
    <w:rsid w:val="00051AF9"/>
    <w:rsid w:val="00051EF6"/>
    <w:rsid w:val="000531C2"/>
    <w:rsid w:val="00053D46"/>
    <w:rsid w:val="000540AC"/>
    <w:rsid w:val="00055299"/>
    <w:rsid w:val="0006032F"/>
    <w:rsid w:val="00060C4D"/>
    <w:rsid w:val="000615FF"/>
    <w:rsid w:val="00061BF6"/>
    <w:rsid w:val="00061CB8"/>
    <w:rsid w:val="000635C2"/>
    <w:rsid w:val="000644EB"/>
    <w:rsid w:val="00064A1F"/>
    <w:rsid w:val="00064EAE"/>
    <w:rsid w:val="000658B8"/>
    <w:rsid w:val="000663C5"/>
    <w:rsid w:val="00066742"/>
    <w:rsid w:val="000667EE"/>
    <w:rsid w:val="00071563"/>
    <w:rsid w:val="00071E97"/>
    <w:rsid w:val="00072AAC"/>
    <w:rsid w:val="00072C65"/>
    <w:rsid w:val="00074F89"/>
    <w:rsid w:val="00075681"/>
    <w:rsid w:val="00075EAF"/>
    <w:rsid w:val="00075FE7"/>
    <w:rsid w:val="00076A81"/>
    <w:rsid w:val="000778A1"/>
    <w:rsid w:val="00077B7F"/>
    <w:rsid w:val="00083CFC"/>
    <w:rsid w:val="0008610D"/>
    <w:rsid w:val="00086339"/>
    <w:rsid w:val="00086912"/>
    <w:rsid w:val="000869E9"/>
    <w:rsid w:val="0008748D"/>
    <w:rsid w:val="000901A9"/>
    <w:rsid w:val="00090F8D"/>
    <w:rsid w:val="0009102D"/>
    <w:rsid w:val="000915A9"/>
    <w:rsid w:val="00091A66"/>
    <w:rsid w:val="00091AC0"/>
    <w:rsid w:val="00091BF3"/>
    <w:rsid w:val="00092854"/>
    <w:rsid w:val="000935BB"/>
    <w:rsid w:val="000936C8"/>
    <w:rsid w:val="000943B8"/>
    <w:rsid w:val="00094CE9"/>
    <w:rsid w:val="00096214"/>
    <w:rsid w:val="00097309"/>
    <w:rsid w:val="000A1241"/>
    <w:rsid w:val="000A127A"/>
    <w:rsid w:val="000A4818"/>
    <w:rsid w:val="000A586A"/>
    <w:rsid w:val="000A621B"/>
    <w:rsid w:val="000A79C1"/>
    <w:rsid w:val="000B00F5"/>
    <w:rsid w:val="000B0848"/>
    <w:rsid w:val="000B168A"/>
    <w:rsid w:val="000B1F62"/>
    <w:rsid w:val="000B23D2"/>
    <w:rsid w:val="000B3019"/>
    <w:rsid w:val="000B35C5"/>
    <w:rsid w:val="000B58DD"/>
    <w:rsid w:val="000B5E85"/>
    <w:rsid w:val="000C028E"/>
    <w:rsid w:val="000C162D"/>
    <w:rsid w:val="000C1854"/>
    <w:rsid w:val="000C21F3"/>
    <w:rsid w:val="000C3E5E"/>
    <w:rsid w:val="000C428A"/>
    <w:rsid w:val="000C42E2"/>
    <w:rsid w:val="000C4F82"/>
    <w:rsid w:val="000C54FB"/>
    <w:rsid w:val="000C6A15"/>
    <w:rsid w:val="000C790F"/>
    <w:rsid w:val="000C7AE9"/>
    <w:rsid w:val="000C7BFD"/>
    <w:rsid w:val="000D0F3B"/>
    <w:rsid w:val="000D15CE"/>
    <w:rsid w:val="000D16B6"/>
    <w:rsid w:val="000D295C"/>
    <w:rsid w:val="000D2DE0"/>
    <w:rsid w:val="000D3D06"/>
    <w:rsid w:val="000D5CDA"/>
    <w:rsid w:val="000D5F7D"/>
    <w:rsid w:val="000D6465"/>
    <w:rsid w:val="000E08F5"/>
    <w:rsid w:val="000E0EB6"/>
    <w:rsid w:val="000E138D"/>
    <w:rsid w:val="000E1D41"/>
    <w:rsid w:val="000E2744"/>
    <w:rsid w:val="000E3472"/>
    <w:rsid w:val="000E3E82"/>
    <w:rsid w:val="000E4136"/>
    <w:rsid w:val="000E4FC0"/>
    <w:rsid w:val="000E51B2"/>
    <w:rsid w:val="000E71C0"/>
    <w:rsid w:val="000E790D"/>
    <w:rsid w:val="000F0E59"/>
    <w:rsid w:val="000F2117"/>
    <w:rsid w:val="000F267F"/>
    <w:rsid w:val="000F553E"/>
    <w:rsid w:val="000F67B1"/>
    <w:rsid w:val="000F68C5"/>
    <w:rsid w:val="00100977"/>
    <w:rsid w:val="00101C4B"/>
    <w:rsid w:val="001032B7"/>
    <w:rsid w:val="00103975"/>
    <w:rsid w:val="0010465A"/>
    <w:rsid w:val="00104E07"/>
    <w:rsid w:val="0010591E"/>
    <w:rsid w:val="0010681F"/>
    <w:rsid w:val="001073C7"/>
    <w:rsid w:val="00107A20"/>
    <w:rsid w:val="00110455"/>
    <w:rsid w:val="00110990"/>
    <w:rsid w:val="00110A2A"/>
    <w:rsid w:val="001118AB"/>
    <w:rsid w:val="001119B6"/>
    <w:rsid w:val="001119BD"/>
    <w:rsid w:val="00112CCB"/>
    <w:rsid w:val="00113ED4"/>
    <w:rsid w:val="001148F8"/>
    <w:rsid w:val="00114DFB"/>
    <w:rsid w:val="0011594D"/>
    <w:rsid w:val="001164D7"/>
    <w:rsid w:val="00116D56"/>
    <w:rsid w:val="001171ED"/>
    <w:rsid w:val="0011751D"/>
    <w:rsid w:val="001206AE"/>
    <w:rsid w:val="00120BD6"/>
    <w:rsid w:val="00121102"/>
    <w:rsid w:val="00121AC6"/>
    <w:rsid w:val="001227F3"/>
    <w:rsid w:val="00123068"/>
    <w:rsid w:val="00123F90"/>
    <w:rsid w:val="00125D8F"/>
    <w:rsid w:val="001261C6"/>
    <w:rsid w:val="00126DA0"/>
    <w:rsid w:val="00127E9D"/>
    <w:rsid w:val="0013053D"/>
    <w:rsid w:val="00130C1C"/>
    <w:rsid w:val="001313E6"/>
    <w:rsid w:val="001317BC"/>
    <w:rsid w:val="001330EF"/>
    <w:rsid w:val="001332DD"/>
    <w:rsid w:val="001338DB"/>
    <w:rsid w:val="00133920"/>
    <w:rsid w:val="001343BB"/>
    <w:rsid w:val="00136546"/>
    <w:rsid w:val="00136C99"/>
    <w:rsid w:val="001406FE"/>
    <w:rsid w:val="001409F0"/>
    <w:rsid w:val="00140E73"/>
    <w:rsid w:val="0014311C"/>
    <w:rsid w:val="00144592"/>
    <w:rsid w:val="00145674"/>
    <w:rsid w:val="00145876"/>
    <w:rsid w:val="001460EC"/>
    <w:rsid w:val="0014681C"/>
    <w:rsid w:val="0014688C"/>
    <w:rsid w:val="00147B99"/>
    <w:rsid w:val="00147E93"/>
    <w:rsid w:val="00151328"/>
    <w:rsid w:val="001514D3"/>
    <w:rsid w:val="001517FF"/>
    <w:rsid w:val="00151A63"/>
    <w:rsid w:val="001537EF"/>
    <w:rsid w:val="00153E2C"/>
    <w:rsid w:val="00153F69"/>
    <w:rsid w:val="001545D4"/>
    <w:rsid w:val="00155A85"/>
    <w:rsid w:val="00157056"/>
    <w:rsid w:val="001611DE"/>
    <w:rsid w:val="001618E9"/>
    <w:rsid w:val="001621D7"/>
    <w:rsid w:val="0016293A"/>
    <w:rsid w:val="00165F42"/>
    <w:rsid w:val="00166275"/>
    <w:rsid w:val="001670F9"/>
    <w:rsid w:val="001704A4"/>
    <w:rsid w:val="001718F2"/>
    <w:rsid w:val="0017208A"/>
    <w:rsid w:val="00172325"/>
    <w:rsid w:val="00172757"/>
    <w:rsid w:val="001727D0"/>
    <w:rsid w:val="00173954"/>
    <w:rsid w:val="00174947"/>
    <w:rsid w:val="00174D8B"/>
    <w:rsid w:val="00175938"/>
    <w:rsid w:val="001763BD"/>
    <w:rsid w:val="001766C3"/>
    <w:rsid w:val="001771CA"/>
    <w:rsid w:val="00180816"/>
    <w:rsid w:val="00181336"/>
    <w:rsid w:val="0018140B"/>
    <w:rsid w:val="001817BE"/>
    <w:rsid w:val="00183152"/>
    <w:rsid w:val="0018376D"/>
    <w:rsid w:val="00183A66"/>
    <w:rsid w:val="0018416B"/>
    <w:rsid w:val="0018579B"/>
    <w:rsid w:val="00185C02"/>
    <w:rsid w:val="00185CA7"/>
    <w:rsid w:val="0018758A"/>
    <w:rsid w:val="0018760C"/>
    <w:rsid w:val="00187711"/>
    <w:rsid w:val="001877C4"/>
    <w:rsid w:val="001905E0"/>
    <w:rsid w:val="001914A2"/>
    <w:rsid w:val="001927A1"/>
    <w:rsid w:val="00194EA8"/>
    <w:rsid w:val="0019594D"/>
    <w:rsid w:val="001962D1"/>
    <w:rsid w:val="00196E4A"/>
    <w:rsid w:val="00197E39"/>
    <w:rsid w:val="001A07E7"/>
    <w:rsid w:val="001A0D47"/>
    <w:rsid w:val="001A17F0"/>
    <w:rsid w:val="001A2FE7"/>
    <w:rsid w:val="001A3CBF"/>
    <w:rsid w:val="001A4A6A"/>
    <w:rsid w:val="001A4D8A"/>
    <w:rsid w:val="001A55AC"/>
    <w:rsid w:val="001A596F"/>
    <w:rsid w:val="001A5B16"/>
    <w:rsid w:val="001A6290"/>
    <w:rsid w:val="001B0398"/>
    <w:rsid w:val="001B09B3"/>
    <w:rsid w:val="001B0BE8"/>
    <w:rsid w:val="001B16DD"/>
    <w:rsid w:val="001B2764"/>
    <w:rsid w:val="001B2A27"/>
    <w:rsid w:val="001B3E45"/>
    <w:rsid w:val="001B48DE"/>
    <w:rsid w:val="001B51EE"/>
    <w:rsid w:val="001B5391"/>
    <w:rsid w:val="001B5BD1"/>
    <w:rsid w:val="001B6661"/>
    <w:rsid w:val="001B6BCD"/>
    <w:rsid w:val="001B6EB6"/>
    <w:rsid w:val="001C1430"/>
    <w:rsid w:val="001C15D7"/>
    <w:rsid w:val="001C5169"/>
    <w:rsid w:val="001C5755"/>
    <w:rsid w:val="001C6F2C"/>
    <w:rsid w:val="001D0AA1"/>
    <w:rsid w:val="001D1771"/>
    <w:rsid w:val="001D23FC"/>
    <w:rsid w:val="001D27E0"/>
    <w:rsid w:val="001D3324"/>
    <w:rsid w:val="001D3697"/>
    <w:rsid w:val="001D4042"/>
    <w:rsid w:val="001D4139"/>
    <w:rsid w:val="001D4C95"/>
    <w:rsid w:val="001D52CD"/>
    <w:rsid w:val="001D6FFF"/>
    <w:rsid w:val="001E028C"/>
    <w:rsid w:val="001E044C"/>
    <w:rsid w:val="001E185F"/>
    <w:rsid w:val="001E569D"/>
    <w:rsid w:val="001E5E53"/>
    <w:rsid w:val="001E6F3B"/>
    <w:rsid w:val="001F329D"/>
    <w:rsid w:val="001F348B"/>
    <w:rsid w:val="001F3C66"/>
    <w:rsid w:val="001F3D1C"/>
    <w:rsid w:val="001F45B2"/>
    <w:rsid w:val="001F4D46"/>
    <w:rsid w:val="001F4E72"/>
    <w:rsid w:val="001F608A"/>
    <w:rsid w:val="001F6233"/>
    <w:rsid w:val="001F76E4"/>
    <w:rsid w:val="00200D5D"/>
    <w:rsid w:val="00201802"/>
    <w:rsid w:val="002019EF"/>
    <w:rsid w:val="00203C7C"/>
    <w:rsid w:val="002041F0"/>
    <w:rsid w:val="0020504B"/>
    <w:rsid w:val="0020548A"/>
    <w:rsid w:val="002054E8"/>
    <w:rsid w:val="00205D80"/>
    <w:rsid w:val="00206840"/>
    <w:rsid w:val="002074A3"/>
    <w:rsid w:val="00210431"/>
    <w:rsid w:val="00211C1C"/>
    <w:rsid w:val="002125FA"/>
    <w:rsid w:val="00212895"/>
    <w:rsid w:val="00212B38"/>
    <w:rsid w:val="00213881"/>
    <w:rsid w:val="00213EF4"/>
    <w:rsid w:val="002151F4"/>
    <w:rsid w:val="00217176"/>
    <w:rsid w:val="00217A92"/>
    <w:rsid w:val="00220DFB"/>
    <w:rsid w:val="00223C46"/>
    <w:rsid w:val="002252C0"/>
    <w:rsid w:val="002259E4"/>
    <w:rsid w:val="00225D8B"/>
    <w:rsid w:val="002269E6"/>
    <w:rsid w:val="0022724E"/>
    <w:rsid w:val="00227855"/>
    <w:rsid w:val="00230742"/>
    <w:rsid w:val="00230AFD"/>
    <w:rsid w:val="002329E1"/>
    <w:rsid w:val="0023315F"/>
    <w:rsid w:val="00233FD1"/>
    <w:rsid w:val="0023606C"/>
    <w:rsid w:val="00236095"/>
    <w:rsid w:val="002363D4"/>
    <w:rsid w:val="00236C00"/>
    <w:rsid w:val="00237156"/>
    <w:rsid w:val="0023718F"/>
    <w:rsid w:val="00237DA3"/>
    <w:rsid w:val="002405B7"/>
    <w:rsid w:val="00240C27"/>
    <w:rsid w:val="002411DC"/>
    <w:rsid w:val="002428AF"/>
    <w:rsid w:val="002442CA"/>
    <w:rsid w:val="00245360"/>
    <w:rsid w:val="00245C18"/>
    <w:rsid w:val="00245E21"/>
    <w:rsid w:val="002462E7"/>
    <w:rsid w:val="0024664F"/>
    <w:rsid w:val="00246891"/>
    <w:rsid w:val="002471B1"/>
    <w:rsid w:val="0024775E"/>
    <w:rsid w:val="002515F0"/>
    <w:rsid w:val="00253561"/>
    <w:rsid w:val="002535D2"/>
    <w:rsid w:val="00254AAA"/>
    <w:rsid w:val="0025515C"/>
    <w:rsid w:val="00256029"/>
    <w:rsid w:val="002561B3"/>
    <w:rsid w:val="002570A5"/>
    <w:rsid w:val="00260512"/>
    <w:rsid w:val="00260EE7"/>
    <w:rsid w:val="00261988"/>
    <w:rsid w:val="00261B5C"/>
    <w:rsid w:val="0026261E"/>
    <w:rsid w:val="00263DFA"/>
    <w:rsid w:val="0026424A"/>
    <w:rsid w:val="002647B7"/>
    <w:rsid w:val="00264D39"/>
    <w:rsid w:val="00264DE9"/>
    <w:rsid w:val="0026548D"/>
    <w:rsid w:val="00265C2F"/>
    <w:rsid w:val="0026646D"/>
    <w:rsid w:val="0026759F"/>
    <w:rsid w:val="0026773A"/>
    <w:rsid w:val="002677D7"/>
    <w:rsid w:val="00267E77"/>
    <w:rsid w:val="002703C7"/>
    <w:rsid w:val="00271832"/>
    <w:rsid w:val="00271C4D"/>
    <w:rsid w:val="00272C89"/>
    <w:rsid w:val="00272F6C"/>
    <w:rsid w:val="0027488C"/>
    <w:rsid w:val="00274ABD"/>
    <w:rsid w:val="0027507E"/>
    <w:rsid w:val="002752A3"/>
    <w:rsid w:val="002756C6"/>
    <w:rsid w:val="00275CF9"/>
    <w:rsid w:val="0027601C"/>
    <w:rsid w:val="00276A12"/>
    <w:rsid w:val="002771D7"/>
    <w:rsid w:val="002802D3"/>
    <w:rsid w:val="00281014"/>
    <w:rsid w:val="00281F58"/>
    <w:rsid w:val="002823CF"/>
    <w:rsid w:val="00283D15"/>
    <w:rsid w:val="00284C4C"/>
    <w:rsid w:val="00286860"/>
    <w:rsid w:val="002868F5"/>
    <w:rsid w:val="00287080"/>
    <w:rsid w:val="00287686"/>
    <w:rsid w:val="00287A4C"/>
    <w:rsid w:val="002904AB"/>
    <w:rsid w:val="00290FC1"/>
    <w:rsid w:val="0029107B"/>
    <w:rsid w:val="00291F4C"/>
    <w:rsid w:val="002921C5"/>
    <w:rsid w:val="002926F7"/>
    <w:rsid w:val="00293461"/>
    <w:rsid w:val="00293A5D"/>
    <w:rsid w:val="00293BBF"/>
    <w:rsid w:val="00294098"/>
    <w:rsid w:val="00294F26"/>
    <w:rsid w:val="00295EDD"/>
    <w:rsid w:val="00295F11"/>
    <w:rsid w:val="00297ED7"/>
    <w:rsid w:val="002A022E"/>
    <w:rsid w:val="002A0C01"/>
    <w:rsid w:val="002A1C6C"/>
    <w:rsid w:val="002A5987"/>
    <w:rsid w:val="002A5E31"/>
    <w:rsid w:val="002A6207"/>
    <w:rsid w:val="002A669A"/>
    <w:rsid w:val="002A69BC"/>
    <w:rsid w:val="002A7097"/>
    <w:rsid w:val="002A715C"/>
    <w:rsid w:val="002A7B7E"/>
    <w:rsid w:val="002A7D75"/>
    <w:rsid w:val="002B002B"/>
    <w:rsid w:val="002B041B"/>
    <w:rsid w:val="002B0BE3"/>
    <w:rsid w:val="002B13C3"/>
    <w:rsid w:val="002B13E3"/>
    <w:rsid w:val="002B2641"/>
    <w:rsid w:val="002B26BC"/>
    <w:rsid w:val="002B2E09"/>
    <w:rsid w:val="002B4E26"/>
    <w:rsid w:val="002C1FBF"/>
    <w:rsid w:val="002C2FDC"/>
    <w:rsid w:val="002C349A"/>
    <w:rsid w:val="002C37FF"/>
    <w:rsid w:val="002C38DA"/>
    <w:rsid w:val="002C38E3"/>
    <w:rsid w:val="002C5585"/>
    <w:rsid w:val="002C6396"/>
    <w:rsid w:val="002C639E"/>
    <w:rsid w:val="002C7470"/>
    <w:rsid w:val="002C74E9"/>
    <w:rsid w:val="002D0F48"/>
    <w:rsid w:val="002D0F83"/>
    <w:rsid w:val="002D1313"/>
    <w:rsid w:val="002D153F"/>
    <w:rsid w:val="002D2A58"/>
    <w:rsid w:val="002D5C82"/>
    <w:rsid w:val="002D60C0"/>
    <w:rsid w:val="002E0E1F"/>
    <w:rsid w:val="002E1633"/>
    <w:rsid w:val="002E280A"/>
    <w:rsid w:val="002E2F95"/>
    <w:rsid w:val="002E38A9"/>
    <w:rsid w:val="002E3B0C"/>
    <w:rsid w:val="002E50AE"/>
    <w:rsid w:val="002E60D2"/>
    <w:rsid w:val="002E7F09"/>
    <w:rsid w:val="002F03DD"/>
    <w:rsid w:val="002F0C5B"/>
    <w:rsid w:val="002F11D0"/>
    <w:rsid w:val="002F18AB"/>
    <w:rsid w:val="002F1DB6"/>
    <w:rsid w:val="002F2DBD"/>
    <w:rsid w:val="002F3BB7"/>
    <w:rsid w:val="002F42AF"/>
    <w:rsid w:val="002F4A03"/>
    <w:rsid w:val="002F5346"/>
    <w:rsid w:val="002F56D2"/>
    <w:rsid w:val="002F6AA7"/>
    <w:rsid w:val="002F6D84"/>
    <w:rsid w:val="003005E8"/>
    <w:rsid w:val="00300A53"/>
    <w:rsid w:val="00301324"/>
    <w:rsid w:val="00301C32"/>
    <w:rsid w:val="00302106"/>
    <w:rsid w:val="00303252"/>
    <w:rsid w:val="00303416"/>
    <w:rsid w:val="0030386D"/>
    <w:rsid w:val="00304DE7"/>
    <w:rsid w:val="00305D77"/>
    <w:rsid w:val="00305F62"/>
    <w:rsid w:val="0030643A"/>
    <w:rsid w:val="00306680"/>
    <w:rsid w:val="00307CA3"/>
    <w:rsid w:val="003108A8"/>
    <w:rsid w:val="00311C01"/>
    <w:rsid w:val="003122BC"/>
    <w:rsid w:val="00316882"/>
    <w:rsid w:val="00316A9E"/>
    <w:rsid w:val="00317A57"/>
    <w:rsid w:val="00320CB5"/>
    <w:rsid w:val="003214FF"/>
    <w:rsid w:val="00321820"/>
    <w:rsid w:val="003222D7"/>
    <w:rsid w:val="00322BAE"/>
    <w:rsid w:val="00326F8B"/>
    <w:rsid w:val="00327EBD"/>
    <w:rsid w:val="00331A77"/>
    <w:rsid w:val="00332F9A"/>
    <w:rsid w:val="0033411D"/>
    <w:rsid w:val="00334C59"/>
    <w:rsid w:val="0033589C"/>
    <w:rsid w:val="003360E8"/>
    <w:rsid w:val="00336586"/>
    <w:rsid w:val="00336686"/>
    <w:rsid w:val="00337241"/>
    <w:rsid w:val="0033738B"/>
    <w:rsid w:val="0033796C"/>
    <w:rsid w:val="00337A0D"/>
    <w:rsid w:val="00341168"/>
    <w:rsid w:val="003414E7"/>
    <w:rsid w:val="00341EE0"/>
    <w:rsid w:val="003420F0"/>
    <w:rsid w:val="00342390"/>
    <w:rsid w:val="00344D2E"/>
    <w:rsid w:val="003456FF"/>
    <w:rsid w:val="00346D54"/>
    <w:rsid w:val="0034724E"/>
    <w:rsid w:val="00350F0A"/>
    <w:rsid w:val="00350FBA"/>
    <w:rsid w:val="0035273D"/>
    <w:rsid w:val="003532E6"/>
    <w:rsid w:val="00353A64"/>
    <w:rsid w:val="00353AB5"/>
    <w:rsid w:val="00354127"/>
    <w:rsid w:val="00354F40"/>
    <w:rsid w:val="003604FD"/>
    <w:rsid w:val="00361F83"/>
    <w:rsid w:val="003630BE"/>
    <w:rsid w:val="00363CFC"/>
    <w:rsid w:val="00363F1A"/>
    <w:rsid w:val="00364CEA"/>
    <w:rsid w:val="00365FD5"/>
    <w:rsid w:val="00366CF5"/>
    <w:rsid w:val="00367E80"/>
    <w:rsid w:val="00370A02"/>
    <w:rsid w:val="00370C3A"/>
    <w:rsid w:val="0037257D"/>
    <w:rsid w:val="00372EEE"/>
    <w:rsid w:val="00373CDE"/>
    <w:rsid w:val="00374542"/>
    <w:rsid w:val="00374CF2"/>
    <w:rsid w:val="00374D14"/>
    <w:rsid w:val="00374F78"/>
    <w:rsid w:val="00375C39"/>
    <w:rsid w:val="00376182"/>
    <w:rsid w:val="003761A3"/>
    <w:rsid w:val="003768C6"/>
    <w:rsid w:val="00376900"/>
    <w:rsid w:val="00377279"/>
    <w:rsid w:val="00377C25"/>
    <w:rsid w:val="0038161A"/>
    <w:rsid w:val="00382E3F"/>
    <w:rsid w:val="00383010"/>
    <w:rsid w:val="0038349F"/>
    <w:rsid w:val="00383BA7"/>
    <w:rsid w:val="00383C03"/>
    <w:rsid w:val="00383FC7"/>
    <w:rsid w:val="00384964"/>
    <w:rsid w:val="00384CDD"/>
    <w:rsid w:val="00385B48"/>
    <w:rsid w:val="0038621B"/>
    <w:rsid w:val="003862C9"/>
    <w:rsid w:val="003877E6"/>
    <w:rsid w:val="003924B2"/>
    <w:rsid w:val="00392AFD"/>
    <w:rsid w:val="00392D62"/>
    <w:rsid w:val="00392F49"/>
    <w:rsid w:val="00393780"/>
    <w:rsid w:val="0039415D"/>
    <w:rsid w:val="00395206"/>
    <w:rsid w:val="0039521D"/>
    <w:rsid w:val="003961A3"/>
    <w:rsid w:val="0039627B"/>
    <w:rsid w:val="00396F26"/>
    <w:rsid w:val="003970FB"/>
    <w:rsid w:val="003A002C"/>
    <w:rsid w:val="003A01F1"/>
    <w:rsid w:val="003A16BC"/>
    <w:rsid w:val="003A183B"/>
    <w:rsid w:val="003A1F68"/>
    <w:rsid w:val="003A227A"/>
    <w:rsid w:val="003A26AB"/>
    <w:rsid w:val="003A3635"/>
    <w:rsid w:val="003A41FE"/>
    <w:rsid w:val="003A5261"/>
    <w:rsid w:val="003A6888"/>
    <w:rsid w:val="003A7724"/>
    <w:rsid w:val="003A791D"/>
    <w:rsid w:val="003A7DA4"/>
    <w:rsid w:val="003B00DC"/>
    <w:rsid w:val="003B1A6E"/>
    <w:rsid w:val="003B259C"/>
    <w:rsid w:val="003B2A3C"/>
    <w:rsid w:val="003B30A8"/>
    <w:rsid w:val="003B3150"/>
    <w:rsid w:val="003B360C"/>
    <w:rsid w:val="003B36C9"/>
    <w:rsid w:val="003B46B6"/>
    <w:rsid w:val="003B46CA"/>
    <w:rsid w:val="003B46F6"/>
    <w:rsid w:val="003B4CE6"/>
    <w:rsid w:val="003B524A"/>
    <w:rsid w:val="003B5E08"/>
    <w:rsid w:val="003B664B"/>
    <w:rsid w:val="003B6C60"/>
    <w:rsid w:val="003B6F91"/>
    <w:rsid w:val="003C07D5"/>
    <w:rsid w:val="003C0D01"/>
    <w:rsid w:val="003C12F0"/>
    <w:rsid w:val="003C139A"/>
    <w:rsid w:val="003C22C7"/>
    <w:rsid w:val="003C313F"/>
    <w:rsid w:val="003C4330"/>
    <w:rsid w:val="003C49A6"/>
    <w:rsid w:val="003C50E9"/>
    <w:rsid w:val="003C5AB6"/>
    <w:rsid w:val="003C71A5"/>
    <w:rsid w:val="003D0773"/>
    <w:rsid w:val="003D0C2B"/>
    <w:rsid w:val="003D10C8"/>
    <w:rsid w:val="003D2CBA"/>
    <w:rsid w:val="003D3459"/>
    <w:rsid w:val="003D3F9B"/>
    <w:rsid w:val="003D52F6"/>
    <w:rsid w:val="003D5596"/>
    <w:rsid w:val="003D59E3"/>
    <w:rsid w:val="003D61E9"/>
    <w:rsid w:val="003D65FD"/>
    <w:rsid w:val="003E06C0"/>
    <w:rsid w:val="003E0862"/>
    <w:rsid w:val="003E0BDC"/>
    <w:rsid w:val="003E1C8E"/>
    <w:rsid w:val="003E2665"/>
    <w:rsid w:val="003E3AA1"/>
    <w:rsid w:val="003E3BE5"/>
    <w:rsid w:val="003E3DC0"/>
    <w:rsid w:val="003E3E33"/>
    <w:rsid w:val="003E44B9"/>
    <w:rsid w:val="003E4B50"/>
    <w:rsid w:val="003E5B00"/>
    <w:rsid w:val="003E5BE4"/>
    <w:rsid w:val="003E74AA"/>
    <w:rsid w:val="003E76C0"/>
    <w:rsid w:val="003E78C8"/>
    <w:rsid w:val="003F01D3"/>
    <w:rsid w:val="003F0C36"/>
    <w:rsid w:val="003F118E"/>
    <w:rsid w:val="003F179B"/>
    <w:rsid w:val="003F29C5"/>
    <w:rsid w:val="003F3C8E"/>
    <w:rsid w:val="003F4525"/>
    <w:rsid w:val="003F4C2E"/>
    <w:rsid w:val="003F6ADB"/>
    <w:rsid w:val="003F6CBA"/>
    <w:rsid w:val="003F7ABA"/>
    <w:rsid w:val="00400B4A"/>
    <w:rsid w:val="00401A28"/>
    <w:rsid w:val="00401B03"/>
    <w:rsid w:val="00402A1E"/>
    <w:rsid w:val="00402FD8"/>
    <w:rsid w:val="004030B0"/>
    <w:rsid w:val="00403A14"/>
    <w:rsid w:val="00405B68"/>
    <w:rsid w:val="00406CA9"/>
    <w:rsid w:val="00406FC0"/>
    <w:rsid w:val="0040764A"/>
    <w:rsid w:val="00407AC5"/>
    <w:rsid w:val="00410943"/>
    <w:rsid w:val="0041389C"/>
    <w:rsid w:val="004142CB"/>
    <w:rsid w:val="00414350"/>
    <w:rsid w:val="00414772"/>
    <w:rsid w:val="00415313"/>
    <w:rsid w:val="00415928"/>
    <w:rsid w:val="00415C89"/>
    <w:rsid w:val="00415FDE"/>
    <w:rsid w:val="00416EDC"/>
    <w:rsid w:val="00417B0F"/>
    <w:rsid w:val="00417DAF"/>
    <w:rsid w:val="0042051E"/>
    <w:rsid w:val="00420D7E"/>
    <w:rsid w:val="00420EF5"/>
    <w:rsid w:val="00422428"/>
    <w:rsid w:val="0042524F"/>
    <w:rsid w:val="00425710"/>
    <w:rsid w:val="00425FE3"/>
    <w:rsid w:val="004260E0"/>
    <w:rsid w:val="00426955"/>
    <w:rsid w:val="00427628"/>
    <w:rsid w:val="004309ED"/>
    <w:rsid w:val="00433CC1"/>
    <w:rsid w:val="0043411A"/>
    <w:rsid w:val="00434B02"/>
    <w:rsid w:val="00434F65"/>
    <w:rsid w:val="00435598"/>
    <w:rsid w:val="00435E23"/>
    <w:rsid w:val="00436BBA"/>
    <w:rsid w:val="004403D9"/>
    <w:rsid w:val="004403DA"/>
    <w:rsid w:val="00441AA0"/>
    <w:rsid w:val="00442647"/>
    <w:rsid w:val="00442DDD"/>
    <w:rsid w:val="00442FAE"/>
    <w:rsid w:val="004449A4"/>
    <w:rsid w:val="00444E9A"/>
    <w:rsid w:val="00446480"/>
    <w:rsid w:val="004500CA"/>
    <w:rsid w:val="00450BA9"/>
    <w:rsid w:val="004512F5"/>
    <w:rsid w:val="00452EEA"/>
    <w:rsid w:val="004540FE"/>
    <w:rsid w:val="00456458"/>
    <w:rsid w:val="00456567"/>
    <w:rsid w:val="00456C61"/>
    <w:rsid w:val="00457159"/>
    <w:rsid w:val="00457B9E"/>
    <w:rsid w:val="00457C57"/>
    <w:rsid w:val="00460338"/>
    <w:rsid w:val="0046047D"/>
    <w:rsid w:val="00460E24"/>
    <w:rsid w:val="0046147D"/>
    <w:rsid w:val="00463417"/>
    <w:rsid w:val="00463DFF"/>
    <w:rsid w:val="00463FE5"/>
    <w:rsid w:val="0046431F"/>
    <w:rsid w:val="00464E51"/>
    <w:rsid w:val="004655E5"/>
    <w:rsid w:val="0046567E"/>
    <w:rsid w:val="0046673D"/>
    <w:rsid w:val="00466780"/>
    <w:rsid w:val="004677F5"/>
    <w:rsid w:val="0047225A"/>
    <w:rsid w:val="004723B6"/>
    <w:rsid w:val="0047276C"/>
    <w:rsid w:val="0047300F"/>
    <w:rsid w:val="004739EF"/>
    <w:rsid w:val="004741B6"/>
    <w:rsid w:val="00474C79"/>
    <w:rsid w:val="004756C2"/>
    <w:rsid w:val="00476588"/>
    <w:rsid w:val="00476FAB"/>
    <w:rsid w:val="004805E6"/>
    <w:rsid w:val="00482A53"/>
    <w:rsid w:val="0048305E"/>
    <w:rsid w:val="004839BD"/>
    <w:rsid w:val="00483F46"/>
    <w:rsid w:val="0048442A"/>
    <w:rsid w:val="00485670"/>
    <w:rsid w:val="0048647B"/>
    <w:rsid w:val="004869EF"/>
    <w:rsid w:val="00487C1D"/>
    <w:rsid w:val="004906A1"/>
    <w:rsid w:val="00490C2B"/>
    <w:rsid w:val="00491B5D"/>
    <w:rsid w:val="00492255"/>
    <w:rsid w:val="004922E4"/>
    <w:rsid w:val="00492F0E"/>
    <w:rsid w:val="00492FE4"/>
    <w:rsid w:val="00493DED"/>
    <w:rsid w:val="00494040"/>
    <w:rsid w:val="00495EF8"/>
    <w:rsid w:val="004967DA"/>
    <w:rsid w:val="00496A2D"/>
    <w:rsid w:val="00497229"/>
    <w:rsid w:val="004977E0"/>
    <w:rsid w:val="00497AD7"/>
    <w:rsid w:val="004A065B"/>
    <w:rsid w:val="004A0775"/>
    <w:rsid w:val="004A2B6F"/>
    <w:rsid w:val="004A302E"/>
    <w:rsid w:val="004A331F"/>
    <w:rsid w:val="004A3806"/>
    <w:rsid w:val="004A3DEE"/>
    <w:rsid w:val="004A5A17"/>
    <w:rsid w:val="004A5B8B"/>
    <w:rsid w:val="004A79A1"/>
    <w:rsid w:val="004A7E68"/>
    <w:rsid w:val="004B0070"/>
    <w:rsid w:val="004B1196"/>
    <w:rsid w:val="004B16FB"/>
    <w:rsid w:val="004B219F"/>
    <w:rsid w:val="004B26AD"/>
    <w:rsid w:val="004B2B98"/>
    <w:rsid w:val="004B2EAF"/>
    <w:rsid w:val="004B44ED"/>
    <w:rsid w:val="004B4972"/>
    <w:rsid w:val="004B5174"/>
    <w:rsid w:val="004B6006"/>
    <w:rsid w:val="004B6942"/>
    <w:rsid w:val="004B7E29"/>
    <w:rsid w:val="004C00C3"/>
    <w:rsid w:val="004C0123"/>
    <w:rsid w:val="004C0163"/>
    <w:rsid w:val="004C1B85"/>
    <w:rsid w:val="004C2C7A"/>
    <w:rsid w:val="004C49B2"/>
    <w:rsid w:val="004C4E1C"/>
    <w:rsid w:val="004C5159"/>
    <w:rsid w:val="004C5840"/>
    <w:rsid w:val="004C5DA2"/>
    <w:rsid w:val="004C5EF2"/>
    <w:rsid w:val="004C64C2"/>
    <w:rsid w:val="004C7BCE"/>
    <w:rsid w:val="004C7F5A"/>
    <w:rsid w:val="004D01CE"/>
    <w:rsid w:val="004D04D6"/>
    <w:rsid w:val="004D0986"/>
    <w:rsid w:val="004D32B6"/>
    <w:rsid w:val="004D33B7"/>
    <w:rsid w:val="004D49BB"/>
    <w:rsid w:val="004D4CF2"/>
    <w:rsid w:val="004D6581"/>
    <w:rsid w:val="004D6AC3"/>
    <w:rsid w:val="004D794C"/>
    <w:rsid w:val="004D7FD8"/>
    <w:rsid w:val="004E0E8E"/>
    <w:rsid w:val="004E16F9"/>
    <w:rsid w:val="004E302A"/>
    <w:rsid w:val="004E32AB"/>
    <w:rsid w:val="004E378E"/>
    <w:rsid w:val="004E44AC"/>
    <w:rsid w:val="004E4F38"/>
    <w:rsid w:val="004E7420"/>
    <w:rsid w:val="004F0805"/>
    <w:rsid w:val="004F0C1B"/>
    <w:rsid w:val="004F16A4"/>
    <w:rsid w:val="004F1D31"/>
    <w:rsid w:val="004F2377"/>
    <w:rsid w:val="004F265E"/>
    <w:rsid w:val="004F2FE6"/>
    <w:rsid w:val="004F33B4"/>
    <w:rsid w:val="004F3F38"/>
    <w:rsid w:val="004F43AC"/>
    <w:rsid w:val="004F4991"/>
    <w:rsid w:val="004F50C8"/>
    <w:rsid w:val="004F64F0"/>
    <w:rsid w:val="005002A2"/>
    <w:rsid w:val="00500FD6"/>
    <w:rsid w:val="0050233B"/>
    <w:rsid w:val="005029F1"/>
    <w:rsid w:val="00503178"/>
    <w:rsid w:val="00503286"/>
    <w:rsid w:val="00503891"/>
    <w:rsid w:val="00503A41"/>
    <w:rsid w:val="00503C86"/>
    <w:rsid w:val="00503F2A"/>
    <w:rsid w:val="00503F3C"/>
    <w:rsid w:val="00505A15"/>
    <w:rsid w:val="00506A45"/>
    <w:rsid w:val="00506B2B"/>
    <w:rsid w:val="00506F87"/>
    <w:rsid w:val="00506F94"/>
    <w:rsid w:val="00507532"/>
    <w:rsid w:val="00507E94"/>
    <w:rsid w:val="00510326"/>
    <w:rsid w:val="00510FC6"/>
    <w:rsid w:val="00511410"/>
    <w:rsid w:val="0051372F"/>
    <w:rsid w:val="005143AB"/>
    <w:rsid w:val="005163D3"/>
    <w:rsid w:val="00520503"/>
    <w:rsid w:val="00521026"/>
    <w:rsid w:val="00522E00"/>
    <w:rsid w:val="00523B2F"/>
    <w:rsid w:val="00523C44"/>
    <w:rsid w:val="0052459F"/>
    <w:rsid w:val="0052504B"/>
    <w:rsid w:val="0052565F"/>
    <w:rsid w:val="00525E81"/>
    <w:rsid w:val="0052644E"/>
    <w:rsid w:val="0052699E"/>
    <w:rsid w:val="005308DB"/>
    <w:rsid w:val="00531DC0"/>
    <w:rsid w:val="0053247B"/>
    <w:rsid w:val="0053282E"/>
    <w:rsid w:val="00532F80"/>
    <w:rsid w:val="005332E9"/>
    <w:rsid w:val="00534502"/>
    <w:rsid w:val="00534668"/>
    <w:rsid w:val="005364F5"/>
    <w:rsid w:val="00536FA7"/>
    <w:rsid w:val="005379A5"/>
    <w:rsid w:val="005400E1"/>
    <w:rsid w:val="00540AA1"/>
    <w:rsid w:val="005410E2"/>
    <w:rsid w:val="00541C29"/>
    <w:rsid w:val="00542351"/>
    <w:rsid w:val="00542826"/>
    <w:rsid w:val="00543495"/>
    <w:rsid w:val="0054445E"/>
    <w:rsid w:val="00544A9D"/>
    <w:rsid w:val="005455AE"/>
    <w:rsid w:val="00545626"/>
    <w:rsid w:val="005462DC"/>
    <w:rsid w:val="00546BDE"/>
    <w:rsid w:val="00550E12"/>
    <w:rsid w:val="0055119D"/>
    <w:rsid w:val="005512C0"/>
    <w:rsid w:val="00553042"/>
    <w:rsid w:val="0055366C"/>
    <w:rsid w:val="00553881"/>
    <w:rsid w:val="005550AC"/>
    <w:rsid w:val="005562BD"/>
    <w:rsid w:val="005568F1"/>
    <w:rsid w:val="00560727"/>
    <w:rsid w:val="00560C3F"/>
    <w:rsid w:val="005611D6"/>
    <w:rsid w:val="005611D9"/>
    <w:rsid w:val="00562996"/>
    <w:rsid w:val="00562B14"/>
    <w:rsid w:val="005631A6"/>
    <w:rsid w:val="0056397C"/>
    <w:rsid w:val="00563B63"/>
    <w:rsid w:val="00565F69"/>
    <w:rsid w:val="005700E3"/>
    <w:rsid w:val="00573071"/>
    <w:rsid w:val="005744F0"/>
    <w:rsid w:val="00574C52"/>
    <w:rsid w:val="00575A99"/>
    <w:rsid w:val="00575E66"/>
    <w:rsid w:val="005807B8"/>
    <w:rsid w:val="00581CFA"/>
    <w:rsid w:val="00581E67"/>
    <w:rsid w:val="00581F37"/>
    <w:rsid w:val="00582054"/>
    <w:rsid w:val="0058272B"/>
    <w:rsid w:val="00582BE5"/>
    <w:rsid w:val="005833BD"/>
    <w:rsid w:val="005840DA"/>
    <w:rsid w:val="00584736"/>
    <w:rsid w:val="00585C3F"/>
    <w:rsid w:val="00586360"/>
    <w:rsid w:val="00586A90"/>
    <w:rsid w:val="00586D2E"/>
    <w:rsid w:val="00586E93"/>
    <w:rsid w:val="0059004D"/>
    <w:rsid w:val="0059131D"/>
    <w:rsid w:val="0059181B"/>
    <w:rsid w:val="005918CC"/>
    <w:rsid w:val="0059214F"/>
    <w:rsid w:val="0059218C"/>
    <w:rsid w:val="00593024"/>
    <w:rsid w:val="005932BA"/>
    <w:rsid w:val="00593FD7"/>
    <w:rsid w:val="00594332"/>
    <w:rsid w:val="00595E8E"/>
    <w:rsid w:val="00596E0C"/>
    <w:rsid w:val="00596EBA"/>
    <w:rsid w:val="005A043F"/>
    <w:rsid w:val="005A0803"/>
    <w:rsid w:val="005A08ED"/>
    <w:rsid w:val="005A1621"/>
    <w:rsid w:val="005A1643"/>
    <w:rsid w:val="005A18A1"/>
    <w:rsid w:val="005A38B8"/>
    <w:rsid w:val="005A3CC9"/>
    <w:rsid w:val="005A59BF"/>
    <w:rsid w:val="005A5F73"/>
    <w:rsid w:val="005A6488"/>
    <w:rsid w:val="005A6B21"/>
    <w:rsid w:val="005A7301"/>
    <w:rsid w:val="005A7C8D"/>
    <w:rsid w:val="005A7CE9"/>
    <w:rsid w:val="005A7E90"/>
    <w:rsid w:val="005B06F5"/>
    <w:rsid w:val="005B0D4F"/>
    <w:rsid w:val="005B16A7"/>
    <w:rsid w:val="005B21DD"/>
    <w:rsid w:val="005B2273"/>
    <w:rsid w:val="005B2AAE"/>
    <w:rsid w:val="005B3637"/>
    <w:rsid w:val="005B3CEB"/>
    <w:rsid w:val="005B4A5A"/>
    <w:rsid w:val="005B4DD0"/>
    <w:rsid w:val="005B5117"/>
    <w:rsid w:val="005B56B8"/>
    <w:rsid w:val="005B5DAA"/>
    <w:rsid w:val="005B64B9"/>
    <w:rsid w:val="005B6E6F"/>
    <w:rsid w:val="005B7020"/>
    <w:rsid w:val="005B7192"/>
    <w:rsid w:val="005C07E1"/>
    <w:rsid w:val="005C084D"/>
    <w:rsid w:val="005C0D91"/>
    <w:rsid w:val="005C1369"/>
    <w:rsid w:val="005C167A"/>
    <w:rsid w:val="005C1D81"/>
    <w:rsid w:val="005C2217"/>
    <w:rsid w:val="005C29CD"/>
    <w:rsid w:val="005C32F1"/>
    <w:rsid w:val="005C4D36"/>
    <w:rsid w:val="005C50E8"/>
    <w:rsid w:val="005C521A"/>
    <w:rsid w:val="005C5466"/>
    <w:rsid w:val="005C5748"/>
    <w:rsid w:val="005C5C17"/>
    <w:rsid w:val="005C65F9"/>
    <w:rsid w:val="005C6AAE"/>
    <w:rsid w:val="005C6B58"/>
    <w:rsid w:val="005C6F0C"/>
    <w:rsid w:val="005C78AB"/>
    <w:rsid w:val="005D01E0"/>
    <w:rsid w:val="005D12B6"/>
    <w:rsid w:val="005D2081"/>
    <w:rsid w:val="005D2DC1"/>
    <w:rsid w:val="005D3096"/>
    <w:rsid w:val="005D32AC"/>
    <w:rsid w:val="005D3981"/>
    <w:rsid w:val="005D5840"/>
    <w:rsid w:val="005D5FDC"/>
    <w:rsid w:val="005D655F"/>
    <w:rsid w:val="005D6572"/>
    <w:rsid w:val="005D7995"/>
    <w:rsid w:val="005E153B"/>
    <w:rsid w:val="005E1EC7"/>
    <w:rsid w:val="005E2D31"/>
    <w:rsid w:val="005E3300"/>
    <w:rsid w:val="005E5420"/>
    <w:rsid w:val="005E5510"/>
    <w:rsid w:val="005E6013"/>
    <w:rsid w:val="005E6023"/>
    <w:rsid w:val="005E6F06"/>
    <w:rsid w:val="005F0566"/>
    <w:rsid w:val="005F0F5B"/>
    <w:rsid w:val="005F1365"/>
    <w:rsid w:val="005F2D84"/>
    <w:rsid w:val="005F32D9"/>
    <w:rsid w:val="005F546D"/>
    <w:rsid w:val="005F6848"/>
    <w:rsid w:val="005F6F85"/>
    <w:rsid w:val="005F707C"/>
    <w:rsid w:val="005F7925"/>
    <w:rsid w:val="005F7E7A"/>
    <w:rsid w:val="00600A6B"/>
    <w:rsid w:val="00600AD7"/>
    <w:rsid w:val="006038EE"/>
    <w:rsid w:val="00603A48"/>
    <w:rsid w:val="00607093"/>
    <w:rsid w:val="006070D0"/>
    <w:rsid w:val="006074D0"/>
    <w:rsid w:val="00607807"/>
    <w:rsid w:val="0060788A"/>
    <w:rsid w:val="00611001"/>
    <w:rsid w:val="00611DEF"/>
    <w:rsid w:val="00614679"/>
    <w:rsid w:val="00615232"/>
    <w:rsid w:val="00615354"/>
    <w:rsid w:val="006157E5"/>
    <w:rsid w:val="00615C99"/>
    <w:rsid w:val="006161A2"/>
    <w:rsid w:val="00620EEB"/>
    <w:rsid w:val="006210EC"/>
    <w:rsid w:val="00621E76"/>
    <w:rsid w:val="00622B65"/>
    <w:rsid w:val="00623AA9"/>
    <w:rsid w:val="00626451"/>
    <w:rsid w:val="006273A8"/>
    <w:rsid w:val="00630E48"/>
    <w:rsid w:val="006323A6"/>
    <w:rsid w:val="006336B7"/>
    <w:rsid w:val="006346B5"/>
    <w:rsid w:val="006371A2"/>
    <w:rsid w:val="0064021C"/>
    <w:rsid w:val="00642D65"/>
    <w:rsid w:val="00645027"/>
    <w:rsid w:val="00645099"/>
    <w:rsid w:val="006450C6"/>
    <w:rsid w:val="006458CA"/>
    <w:rsid w:val="00645C5A"/>
    <w:rsid w:val="00645DAE"/>
    <w:rsid w:val="00645F2A"/>
    <w:rsid w:val="00647FDF"/>
    <w:rsid w:val="00652E58"/>
    <w:rsid w:val="00653F95"/>
    <w:rsid w:val="006546F5"/>
    <w:rsid w:val="00654F19"/>
    <w:rsid w:val="006557E2"/>
    <w:rsid w:val="00655CF9"/>
    <w:rsid w:val="00660872"/>
    <w:rsid w:val="00660D48"/>
    <w:rsid w:val="00661374"/>
    <w:rsid w:val="00663005"/>
    <w:rsid w:val="00663C05"/>
    <w:rsid w:val="00664EDB"/>
    <w:rsid w:val="006652BA"/>
    <w:rsid w:val="00670040"/>
    <w:rsid w:val="0067066C"/>
    <w:rsid w:val="00671C52"/>
    <w:rsid w:val="00672460"/>
    <w:rsid w:val="006735DF"/>
    <w:rsid w:val="0067365B"/>
    <w:rsid w:val="00673A2D"/>
    <w:rsid w:val="00674160"/>
    <w:rsid w:val="00674D9A"/>
    <w:rsid w:val="00675041"/>
    <w:rsid w:val="006755A6"/>
    <w:rsid w:val="0067572C"/>
    <w:rsid w:val="0067655E"/>
    <w:rsid w:val="00677604"/>
    <w:rsid w:val="00680146"/>
    <w:rsid w:val="006806E5"/>
    <w:rsid w:val="006811BB"/>
    <w:rsid w:val="00681BD8"/>
    <w:rsid w:val="00682017"/>
    <w:rsid w:val="00682C5D"/>
    <w:rsid w:val="00684325"/>
    <w:rsid w:val="006862BB"/>
    <w:rsid w:val="006866B3"/>
    <w:rsid w:val="006877EC"/>
    <w:rsid w:val="00687BBF"/>
    <w:rsid w:val="00687D6C"/>
    <w:rsid w:val="00690730"/>
    <w:rsid w:val="00691543"/>
    <w:rsid w:val="006922CC"/>
    <w:rsid w:val="00692FA9"/>
    <w:rsid w:val="006938EA"/>
    <w:rsid w:val="006947B8"/>
    <w:rsid w:val="00695587"/>
    <w:rsid w:val="00695AAD"/>
    <w:rsid w:val="00695B10"/>
    <w:rsid w:val="0069744E"/>
    <w:rsid w:val="00697F98"/>
    <w:rsid w:val="006A18FA"/>
    <w:rsid w:val="006A213E"/>
    <w:rsid w:val="006A314E"/>
    <w:rsid w:val="006A3753"/>
    <w:rsid w:val="006A3CFC"/>
    <w:rsid w:val="006A3D1C"/>
    <w:rsid w:val="006A56DC"/>
    <w:rsid w:val="006A605E"/>
    <w:rsid w:val="006A65DC"/>
    <w:rsid w:val="006A7123"/>
    <w:rsid w:val="006A74A1"/>
    <w:rsid w:val="006A7594"/>
    <w:rsid w:val="006A7A86"/>
    <w:rsid w:val="006A7B94"/>
    <w:rsid w:val="006B00EB"/>
    <w:rsid w:val="006B0261"/>
    <w:rsid w:val="006B0716"/>
    <w:rsid w:val="006B0F39"/>
    <w:rsid w:val="006B2184"/>
    <w:rsid w:val="006B223F"/>
    <w:rsid w:val="006B22B0"/>
    <w:rsid w:val="006B253E"/>
    <w:rsid w:val="006B2576"/>
    <w:rsid w:val="006B2658"/>
    <w:rsid w:val="006B2F61"/>
    <w:rsid w:val="006B3AE2"/>
    <w:rsid w:val="006B42FF"/>
    <w:rsid w:val="006B4D51"/>
    <w:rsid w:val="006B504C"/>
    <w:rsid w:val="006B5720"/>
    <w:rsid w:val="006B7603"/>
    <w:rsid w:val="006B7A68"/>
    <w:rsid w:val="006C0471"/>
    <w:rsid w:val="006C1F56"/>
    <w:rsid w:val="006C2BFA"/>
    <w:rsid w:val="006C2FEF"/>
    <w:rsid w:val="006C3CD2"/>
    <w:rsid w:val="006C4406"/>
    <w:rsid w:val="006C4F76"/>
    <w:rsid w:val="006C5C94"/>
    <w:rsid w:val="006C64EF"/>
    <w:rsid w:val="006C6DD6"/>
    <w:rsid w:val="006C7113"/>
    <w:rsid w:val="006C72A4"/>
    <w:rsid w:val="006C7382"/>
    <w:rsid w:val="006D1524"/>
    <w:rsid w:val="006D202A"/>
    <w:rsid w:val="006D21C8"/>
    <w:rsid w:val="006D2909"/>
    <w:rsid w:val="006D2D10"/>
    <w:rsid w:val="006D3014"/>
    <w:rsid w:val="006D3A45"/>
    <w:rsid w:val="006D3F7F"/>
    <w:rsid w:val="006D5E25"/>
    <w:rsid w:val="006D62D5"/>
    <w:rsid w:val="006D68F8"/>
    <w:rsid w:val="006D70A8"/>
    <w:rsid w:val="006E02C3"/>
    <w:rsid w:val="006E0603"/>
    <w:rsid w:val="006E0D15"/>
    <w:rsid w:val="006E0EA1"/>
    <w:rsid w:val="006E4704"/>
    <w:rsid w:val="006E4D7C"/>
    <w:rsid w:val="006E4F82"/>
    <w:rsid w:val="006E54F1"/>
    <w:rsid w:val="006E5749"/>
    <w:rsid w:val="006E5E97"/>
    <w:rsid w:val="006E6A1E"/>
    <w:rsid w:val="006E6D48"/>
    <w:rsid w:val="006E6E95"/>
    <w:rsid w:val="006E7434"/>
    <w:rsid w:val="006E7878"/>
    <w:rsid w:val="006E7A9A"/>
    <w:rsid w:val="006F0922"/>
    <w:rsid w:val="006F0FE3"/>
    <w:rsid w:val="006F1851"/>
    <w:rsid w:val="006F1FC4"/>
    <w:rsid w:val="006F2BD0"/>
    <w:rsid w:val="006F38E4"/>
    <w:rsid w:val="006F39C3"/>
    <w:rsid w:val="006F49BF"/>
    <w:rsid w:val="006F7341"/>
    <w:rsid w:val="00701ABF"/>
    <w:rsid w:val="007034DF"/>
    <w:rsid w:val="00703F58"/>
    <w:rsid w:val="00706945"/>
    <w:rsid w:val="007100D1"/>
    <w:rsid w:val="007104EB"/>
    <w:rsid w:val="0071090E"/>
    <w:rsid w:val="00711B10"/>
    <w:rsid w:val="00712531"/>
    <w:rsid w:val="00712791"/>
    <w:rsid w:val="00712B06"/>
    <w:rsid w:val="00712C84"/>
    <w:rsid w:val="007132C0"/>
    <w:rsid w:val="007149C4"/>
    <w:rsid w:val="00715B70"/>
    <w:rsid w:val="007160D1"/>
    <w:rsid w:val="007160DE"/>
    <w:rsid w:val="00717542"/>
    <w:rsid w:val="007204F2"/>
    <w:rsid w:val="00721452"/>
    <w:rsid w:val="00721F2C"/>
    <w:rsid w:val="0072295E"/>
    <w:rsid w:val="00723B7C"/>
    <w:rsid w:val="00724558"/>
    <w:rsid w:val="00724D2E"/>
    <w:rsid w:val="00725207"/>
    <w:rsid w:val="007260BC"/>
    <w:rsid w:val="007302F9"/>
    <w:rsid w:val="00730D2A"/>
    <w:rsid w:val="00730E13"/>
    <w:rsid w:val="007312BC"/>
    <w:rsid w:val="007313BF"/>
    <w:rsid w:val="00731DCD"/>
    <w:rsid w:val="0073349F"/>
    <w:rsid w:val="007336D6"/>
    <w:rsid w:val="00733BA0"/>
    <w:rsid w:val="007348D9"/>
    <w:rsid w:val="00734935"/>
    <w:rsid w:val="00734FF9"/>
    <w:rsid w:val="007351A2"/>
    <w:rsid w:val="00736F45"/>
    <w:rsid w:val="007374CE"/>
    <w:rsid w:val="007378AA"/>
    <w:rsid w:val="00737CD1"/>
    <w:rsid w:val="00740134"/>
    <w:rsid w:val="00740A55"/>
    <w:rsid w:val="00740DCB"/>
    <w:rsid w:val="007411AD"/>
    <w:rsid w:val="00741350"/>
    <w:rsid w:val="00742B93"/>
    <w:rsid w:val="00743091"/>
    <w:rsid w:val="00745A08"/>
    <w:rsid w:val="00746550"/>
    <w:rsid w:val="007472CA"/>
    <w:rsid w:val="00747380"/>
    <w:rsid w:val="007478E2"/>
    <w:rsid w:val="00747E8E"/>
    <w:rsid w:val="00750424"/>
    <w:rsid w:val="00750DF5"/>
    <w:rsid w:val="00751131"/>
    <w:rsid w:val="0075183E"/>
    <w:rsid w:val="00752567"/>
    <w:rsid w:val="007527D9"/>
    <w:rsid w:val="007529E0"/>
    <w:rsid w:val="007535E3"/>
    <w:rsid w:val="00753F07"/>
    <w:rsid w:val="00753FD4"/>
    <w:rsid w:val="00754144"/>
    <w:rsid w:val="00754C3B"/>
    <w:rsid w:val="00755761"/>
    <w:rsid w:val="00755D26"/>
    <w:rsid w:val="007576EE"/>
    <w:rsid w:val="00761902"/>
    <w:rsid w:val="00762325"/>
    <w:rsid w:val="00762712"/>
    <w:rsid w:val="00762F84"/>
    <w:rsid w:val="007632C1"/>
    <w:rsid w:val="00763C56"/>
    <w:rsid w:val="00764DAA"/>
    <w:rsid w:val="007658E6"/>
    <w:rsid w:val="00765AA3"/>
    <w:rsid w:val="0076660C"/>
    <w:rsid w:val="00767B53"/>
    <w:rsid w:val="00772B16"/>
    <w:rsid w:val="00772D29"/>
    <w:rsid w:val="00773AE9"/>
    <w:rsid w:val="00773B5D"/>
    <w:rsid w:val="00773DC1"/>
    <w:rsid w:val="007745DA"/>
    <w:rsid w:val="00774859"/>
    <w:rsid w:val="00775580"/>
    <w:rsid w:val="00775F22"/>
    <w:rsid w:val="007764E3"/>
    <w:rsid w:val="00776586"/>
    <w:rsid w:val="00777CBE"/>
    <w:rsid w:val="007802FF"/>
    <w:rsid w:val="00780422"/>
    <w:rsid w:val="00780F60"/>
    <w:rsid w:val="00781A6A"/>
    <w:rsid w:val="007827B4"/>
    <w:rsid w:val="00783618"/>
    <w:rsid w:val="00784E51"/>
    <w:rsid w:val="00785383"/>
    <w:rsid w:val="007862BB"/>
    <w:rsid w:val="00791218"/>
    <w:rsid w:val="007922BF"/>
    <w:rsid w:val="00792492"/>
    <w:rsid w:val="00792B12"/>
    <w:rsid w:val="007941F1"/>
    <w:rsid w:val="00794212"/>
    <w:rsid w:val="00794C28"/>
    <w:rsid w:val="00795CEA"/>
    <w:rsid w:val="0079630A"/>
    <w:rsid w:val="0079644F"/>
    <w:rsid w:val="007965E2"/>
    <w:rsid w:val="007967DF"/>
    <w:rsid w:val="00796BDA"/>
    <w:rsid w:val="007970AD"/>
    <w:rsid w:val="00797204"/>
    <w:rsid w:val="007A0E4B"/>
    <w:rsid w:val="007A0FEF"/>
    <w:rsid w:val="007A158B"/>
    <w:rsid w:val="007A17A4"/>
    <w:rsid w:val="007A1E1B"/>
    <w:rsid w:val="007A2028"/>
    <w:rsid w:val="007A20EF"/>
    <w:rsid w:val="007A235D"/>
    <w:rsid w:val="007A2563"/>
    <w:rsid w:val="007A2AAE"/>
    <w:rsid w:val="007A2EF3"/>
    <w:rsid w:val="007A5C19"/>
    <w:rsid w:val="007A5D44"/>
    <w:rsid w:val="007A6A90"/>
    <w:rsid w:val="007A6BB8"/>
    <w:rsid w:val="007B11CE"/>
    <w:rsid w:val="007B14A8"/>
    <w:rsid w:val="007B2BD6"/>
    <w:rsid w:val="007B2EB4"/>
    <w:rsid w:val="007B3C52"/>
    <w:rsid w:val="007B44CA"/>
    <w:rsid w:val="007B4CF0"/>
    <w:rsid w:val="007B554A"/>
    <w:rsid w:val="007B5662"/>
    <w:rsid w:val="007B6D8A"/>
    <w:rsid w:val="007C03C7"/>
    <w:rsid w:val="007C3715"/>
    <w:rsid w:val="007C3818"/>
    <w:rsid w:val="007C39AD"/>
    <w:rsid w:val="007C3FB2"/>
    <w:rsid w:val="007C4FE6"/>
    <w:rsid w:val="007C518D"/>
    <w:rsid w:val="007C5355"/>
    <w:rsid w:val="007C6530"/>
    <w:rsid w:val="007C6A65"/>
    <w:rsid w:val="007C7248"/>
    <w:rsid w:val="007C7A37"/>
    <w:rsid w:val="007C7D4D"/>
    <w:rsid w:val="007D0775"/>
    <w:rsid w:val="007D12C4"/>
    <w:rsid w:val="007D237C"/>
    <w:rsid w:val="007D2B30"/>
    <w:rsid w:val="007D3618"/>
    <w:rsid w:val="007D398F"/>
    <w:rsid w:val="007D3E75"/>
    <w:rsid w:val="007D4503"/>
    <w:rsid w:val="007D4A67"/>
    <w:rsid w:val="007D666B"/>
    <w:rsid w:val="007D6791"/>
    <w:rsid w:val="007E01EF"/>
    <w:rsid w:val="007E04FB"/>
    <w:rsid w:val="007E0801"/>
    <w:rsid w:val="007E166F"/>
    <w:rsid w:val="007E1959"/>
    <w:rsid w:val="007E200E"/>
    <w:rsid w:val="007E47AC"/>
    <w:rsid w:val="007E6523"/>
    <w:rsid w:val="007E681C"/>
    <w:rsid w:val="007E68DD"/>
    <w:rsid w:val="007E68F5"/>
    <w:rsid w:val="007E6A04"/>
    <w:rsid w:val="007E74B3"/>
    <w:rsid w:val="007E765D"/>
    <w:rsid w:val="007F010B"/>
    <w:rsid w:val="007F0D1A"/>
    <w:rsid w:val="007F1162"/>
    <w:rsid w:val="007F11E2"/>
    <w:rsid w:val="007F1495"/>
    <w:rsid w:val="007F26AD"/>
    <w:rsid w:val="007F2A1C"/>
    <w:rsid w:val="007F2E64"/>
    <w:rsid w:val="007F2EC7"/>
    <w:rsid w:val="007F39E7"/>
    <w:rsid w:val="007F3CAB"/>
    <w:rsid w:val="007F524A"/>
    <w:rsid w:val="007F5668"/>
    <w:rsid w:val="007F5C3A"/>
    <w:rsid w:val="007F5CD1"/>
    <w:rsid w:val="007F5FEE"/>
    <w:rsid w:val="007F63A9"/>
    <w:rsid w:val="007F78EE"/>
    <w:rsid w:val="00800C51"/>
    <w:rsid w:val="00801920"/>
    <w:rsid w:val="00801E0B"/>
    <w:rsid w:val="00803213"/>
    <w:rsid w:val="008034D2"/>
    <w:rsid w:val="00803CFB"/>
    <w:rsid w:val="00803E37"/>
    <w:rsid w:val="00805460"/>
    <w:rsid w:val="00805C23"/>
    <w:rsid w:val="00805C3D"/>
    <w:rsid w:val="008062E3"/>
    <w:rsid w:val="0080758A"/>
    <w:rsid w:val="00807759"/>
    <w:rsid w:val="00810CE1"/>
    <w:rsid w:val="0081103F"/>
    <w:rsid w:val="00812586"/>
    <w:rsid w:val="00814C61"/>
    <w:rsid w:val="008153D3"/>
    <w:rsid w:val="00815641"/>
    <w:rsid w:val="00815B8D"/>
    <w:rsid w:val="00815C79"/>
    <w:rsid w:val="00816076"/>
    <w:rsid w:val="00816728"/>
    <w:rsid w:val="00816B3F"/>
    <w:rsid w:val="00816F62"/>
    <w:rsid w:val="00817F5D"/>
    <w:rsid w:val="0082030E"/>
    <w:rsid w:val="0082123B"/>
    <w:rsid w:val="00821727"/>
    <w:rsid w:val="00821EFA"/>
    <w:rsid w:val="0082209D"/>
    <w:rsid w:val="00822537"/>
    <w:rsid w:val="00822CA6"/>
    <w:rsid w:val="008231E7"/>
    <w:rsid w:val="00823317"/>
    <w:rsid w:val="0082393E"/>
    <w:rsid w:val="008251D4"/>
    <w:rsid w:val="00825791"/>
    <w:rsid w:val="00825B10"/>
    <w:rsid w:val="00826BC9"/>
    <w:rsid w:val="00826D33"/>
    <w:rsid w:val="0082798D"/>
    <w:rsid w:val="00827A9E"/>
    <w:rsid w:val="00827E1F"/>
    <w:rsid w:val="00835B6B"/>
    <w:rsid w:val="00835FE5"/>
    <w:rsid w:val="0083663A"/>
    <w:rsid w:val="00837829"/>
    <w:rsid w:val="0084014A"/>
    <w:rsid w:val="00841A84"/>
    <w:rsid w:val="00843701"/>
    <w:rsid w:val="008438E6"/>
    <w:rsid w:val="00843CE1"/>
    <w:rsid w:val="00844A0F"/>
    <w:rsid w:val="00845A3C"/>
    <w:rsid w:val="008477C0"/>
    <w:rsid w:val="00850670"/>
    <w:rsid w:val="008511CC"/>
    <w:rsid w:val="00851573"/>
    <w:rsid w:val="00852837"/>
    <w:rsid w:val="00852D28"/>
    <w:rsid w:val="008531A4"/>
    <w:rsid w:val="00853446"/>
    <w:rsid w:val="008535BE"/>
    <w:rsid w:val="0085471C"/>
    <w:rsid w:val="008551EC"/>
    <w:rsid w:val="00855409"/>
    <w:rsid w:val="00855A0C"/>
    <w:rsid w:val="0085798A"/>
    <w:rsid w:val="008607ED"/>
    <w:rsid w:val="008608A6"/>
    <w:rsid w:val="00860DF0"/>
    <w:rsid w:val="0086119F"/>
    <w:rsid w:val="00861BBB"/>
    <w:rsid w:val="00861C51"/>
    <w:rsid w:val="0086254A"/>
    <w:rsid w:val="00864A40"/>
    <w:rsid w:val="00865033"/>
    <w:rsid w:val="0086576B"/>
    <w:rsid w:val="0086578F"/>
    <w:rsid w:val="00865E44"/>
    <w:rsid w:val="00867F00"/>
    <w:rsid w:val="0087010A"/>
    <w:rsid w:val="008704F4"/>
    <w:rsid w:val="00870562"/>
    <w:rsid w:val="008707F8"/>
    <w:rsid w:val="00870ADE"/>
    <w:rsid w:val="00871068"/>
    <w:rsid w:val="008726C4"/>
    <w:rsid w:val="008731D6"/>
    <w:rsid w:val="0087372F"/>
    <w:rsid w:val="00873DAE"/>
    <w:rsid w:val="0087413D"/>
    <w:rsid w:val="008745D8"/>
    <w:rsid w:val="0087479E"/>
    <w:rsid w:val="0087495A"/>
    <w:rsid w:val="00875595"/>
    <w:rsid w:val="00875962"/>
    <w:rsid w:val="008779AF"/>
    <w:rsid w:val="00877A6E"/>
    <w:rsid w:val="0088100C"/>
    <w:rsid w:val="0088114C"/>
    <w:rsid w:val="0088229A"/>
    <w:rsid w:val="00882D2D"/>
    <w:rsid w:val="008837F4"/>
    <w:rsid w:val="00883995"/>
    <w:rsid w:val="008845FD"/>
    <w:rsid w:val="00884E31"/>
    <w:rsid w:val="0088541D"/>
    <w:rsid w:val="00885424"/>
    <w:rsid w:val="008864A9"/>
    <w:rsid w:val="00890588"/>
    <w:rsid w:val="00891816"/>
    <w:rsid w:val="00891987"/>
    <w:rsid w:val="00891DC7"/>
    <w:rsid w:val="0089228D"/>
    <w:rsid w:val="008927B5"/>
    <w:rsid w:val="00892B5A"/>
    <w:rsid w:val="00893807"/>
    <w:rsid w:val="00893E7F"/>
    <w:rsid w:val="00893F3C"/>
    <w:rsid w:val="00894E30"/>
    <w:rsid w:val="00896FAD"/>
    <w:rsid w:val="00897B9F"/>
    <w:rsid w:val="008A00E0"/>
    <w:rsid w:val="008A0839"/>
    <w:rsid w:val="008A10FB"/>
    <w:rsid w:val="008A12C7"/>
    <w:rsid w:val="008A1917"/>
    <w:rsid w:val="008A2777"/>
    <w:rsid w:val="008A2CA4"/>
    <w:rsid w:val="008A2D3E"/>
    <w:rsid w:val="008A4F52"/>
    <w:rsid w:val="008A5324"/>
    <w:rsid w:val="008A5686"/>
    <w:rsid w:val="008A56B8"/>
    <w:rsid w:val="008A5778"/>
    <w:rsid w:val="008A59BB"/>
    <w:rsid w:val="008A5FD9"/>
    <w:rsid w:val="008B03AE"/>
    <w:rsid w:val="008B0961"/>
    <w:rsid w:val="008B1045"/>
    <w:rsid w:val="008B244B"/>
    <w:rsid w:val="008B2740"/>
    <w:rsid w:val="008B2EA2"/>
    <w:rsid w:val="008B3F47"/>
    <w:rsid w:val="008B4DC6"/>
    <w:rsid w:val="008B596F"/>
    <w:rsid w:val="008B5BAC"/>
    <w:rsid w:val="008B61D2"/>
    <w:rsid w:val="008B750F"/>
    <w:rsid w:val="008C014D"/>
    <w:rsid w:val="008C0289"/>
    <w:rsid w:val="008C09EA"/>
    <w:rsid w:val="008C09F6"/>
    <w:rsid w:val="008C0BF6"/>
    <w:rsid w:val="008C0CB1"/>
    <w:rsid w:val="008C2EC3"/>
    <w:rsid w:val="008C312A"/>
    <w:rsid w:val="008C3747"/>
    <w:rsid w:val="008C4762"/>
    <w:rsid w:val="008C554F"/>
    <w:rsid w:val="008C5D3D"/>
    <w:rsid w:val="008C7C5D"/>
    <w:rsid w:val="008D0506"/>
    <w:rsid w:val="008D09DC"/>
    <w:rsid w:val="008D134B"/>
    <w:rsid w:val="008D1B08"/>
    <w:rsid w:val="008D21F5"/>
    <w:rsid w:val="008D220B"/>
    <w:rsid w:val="008D227C"/>
    <w:rsid w:val="008D42D6"/>
    <w:rsid w:val="008D4D36"/>
    <w:rsid w:val="008D5424"/>
    <w:rsid w:val="008D5AE9"/>
    <w:rsid w:val="008D6F91"/>
    <w:rsid w:val="008D7EE9"/>
    <w:rsid w:val="008E0C75"/>
    <w:rsid w:val="008E0FC4"/>
    <w:rsid w:val="008E1542"/>
    <w:rsid w:val="008E15DE"/>
    <w:rsid w:val="008E3039"/>
    <w:rsid w:val="008E38C8"/>
    <w:rsid w:val="008E6284"/>
    <w:rsid w:val="008E6720"/>
    <w:rsid w:val="008E6864"/>
    <w:rsid w:val="008E6AB0"/>
    <w:rsid w:val="008E720D"/>
    <w:rsid w:val="008E7366"/>
    <w:rsid w:val="008E74EE"/>
    <w:rsid w:val="008F01D4"/>
    <w:rsid w:val="008F0A76"/>
    <w:rsid w:val="008F0EE4"/>
    <w:rsid w:val="008F16D6"/>
    <w:rsid w:val="008F20C8"/>
    <w:rsid w:val="008F29B2"/>
    <w:rsid w:val="008F587D"/>
    <w:rsid w:val="008F5B33"/>
    <w:rsid w:val="008F5B98"/>
    <w:rsid w:val="008F66BD"/>
    <w:rsid w:val="008F6DE2"/>
    <w:rsid w:val="008F7565"/>
    <w:rsid w:val="008F7881"/>
    <w:rsid w:val="008F7D40"/>
    <w:rsid w:val="008F7F32"/>
    <w:rsid w:val="009000B9"/>
    <w:rsid w:val="009001B0"/>
    <w:rsid w:val="0090043F"/>
    <w:rsid w:val="00900638"/>
    <w:rsid w:val="00900E9B"/>
    <w:rsid w:val="00901471"/>
    <w:rsid w:val="009021A8"/>
    <w:rsid w:val="0090264A"/>
    <w:rsid w:val="009030C3"/>
    <w:rsid w:val="009032FE"/>
    <w:rsid w:val="009052E4"/>
    <w:rsid w:val="00906339"/>
    <w:rsid w:val="00907C1F"/>
    <w:rsid w:val="009110D2"/>
    <w:rsid w:val="0091278A"/>
    <w:rsid w:val="009134F9"/>
    <w:rsid w:val="0091504C"/>
    <w:rsid w:val="009155BE"/>
    <w:rsid w:val="00915F44"/>
    <w:rsid w:val="00916430"/>
    <w:rsid w:val="00916569"/>
    <w:rsid w:val="00917208"/>
    <w:rsid w:val="00917A46"/>
    <w:rsid w:val="00922A80"/>
    <w:rsid w:val="00923628"/>
    <w:rsid w:val="009245FB"/>
    <w:rsid w:val="0092645A"/>
    <w:rsid w:val="009270F8"/>
    <w:rsid w:val="009271F0"/>
    <w:rsid w:val="00927AB3"/>
    <w:rsid w:val="009302DA"/>
    <w:rsid w:val="00930BC0"/>
    <w:rsid w:val="00931130"/>
    <w:rsid w:val="009323EF"/>
    <w:rsid w:val="009329C4"/>
    <w:rsid w:val="00933E95"/>
    <w:rsid w:val="00934A3C"/>
    <w:rsid w:val="0093574A"/>
    <w:rsid w:val="00935CB6"/>
    <w:rsid w:val="0093692A"/>
    <w:rsid w:val="00936A95"/>
    <w:rsid w:val="00936AA6"/>
    <w:rsid w:val="00936F7A"/>
    <w:rsid w:val="00936F92"/>
    <w:rsid w:val="0093797A"/>
    <w:rsid w:val="00941410"/>
    <w:rsid w:val="00941A0B"/>
    <w:rsid w:val="00941A82"/>
    <w:rsid w:val="00941ED7"/>
    <w:rsid w:val="00941F74"/>
    <w:rsid w:val="00942686"/>
    <w:rsid w:val="00942FDC"/>
    <w:rsid w:val="009430CE"/>
    <w:rsid w:val="00943C23"/>
    <w:rsid w:val="0094409A"/>
    <w:rsid w:val="009443B0"/>
    <w:rsid w:val="00944C48"/>
    <w:rsid w:val="009477EF"/>
    <w:rsid w:val="00947AC0"/>
    <w:rsid w:val="00947F4F"/>
    <w:rsid w:val="00952A09"/>
    <w:rsid w:val="00953D24"/>
    <w:rsid w:val="00956644"/>
    <w:rsid w:val="009578EC"/>
    <w:rsid w:val="00960043"/>
    <w:rsid w:val="00960EEC"/>
    <w:rsid w:val="00961052"/>
    <w:rsid w:val="00961F4E"/>
    <w:rsid w:val="009624E3"/>
    <w:rsid w:val="00962AC0"/>
    <w:rsid w:val="0096330E"/>
    <w:rsid w:val="0096354B"/>
    <w:rsid w:val="00965B52"/>
    <w:rsid w:val="0096771E"/>
    <w:rsid w:val="00967AE4"/>
    <w:rsid w:val="00967B37"/>
    <w:rsid w:val="0097077B"/>
    <w:rsid w:val="009715DA"/>
    <w:rsid w:val="009727C3"/>
    <w:rsid w:val="00972B29"/>
    <w:rsid w:val="009732F5"/>
    <w:rsid w:val="00974657"/>
    <w:rsid w:val="00974C91"/>
    <w:rsid w:val="009771D9"/>
    <w:rsid w:val="00977636"/>
    <w:rsid w:val="00977701"/>
    <w:rsid w:val="00977A99"/>
    <w:rsid w:val="0098200A"/>
    <w:rsid w:val="0098210D"/>
    <w:rsid w:val="00982C12"/>
    <w:rsid w:val="009838D9"/>
    <w:rsid w:val="00984D6C"/>
    <w:rsid w:val="00985A44"/>
    <w:rsid w:val="00985F98"/>
    <w:rsid w:val="00987712"/>
    <w:rsid w:val="00987FC3"/>
    <w:rsid w:val="00990DB6"/>
    <w:rsid w:val="009910C5"/>
    <w:rsid w:val="00991776"/>
    <w:rsid w:val="00991798"/>
    <w:rsid w:val="0099291D"/>
    <w:rsid w:val="00992E3C"/>
    <w:rsid w:val="00992FA1"/>
    <w:rsid w:val="00993436"/>
    <w:rsid w:val="009934F9"/>
    <w:rsid w:val="00994195"/>
    <w:rsid w:val="009949B1"/>
    <w:rsid w:val="009957C0"/>
    <w:rsid w:val="009968E0"/>
    <w:rsid w:val="00997440"/>
    <w:rsid w:val="009A1760"/>
    <w:rsid w:val="009A226B"/>
    <w:rsid w:val="009A2692"/>
    <w:rsid w:val="009A2768"/>
    <w:rsid w:val="009A3067"/>
    <w:rsid w:val="009A31A5"/>
    <w:rsid w:val="009A3461"/>
    <w:rsid w:val="009A3B09"/>
    <w:rsid w:val="009A3EF9"/>
    <w:rsid w:val="009A47E2"/>
    <w:rsid w:val="009A4D5B"/>
    <w:rsid w:val="009A7664"/>
    <w:rsid w:val="009A7AD6"/>
    <w:rsid w:val="009B0567"/>
    <w:rsid w:val="009B0C4E"/>
    <w:rsid w:val="009B1841"/>
    <w:rsid w:val="009B1EF8"/>
    <w:rsid w:val="009B23FC"/>
    <w:rsid w:val="009B2978"/>
    <w:rsid w:val="009B35D9"/>
    <w:rsid w:val="009B55B9"/>
    <w:rsid w:val="009B607F"/>
    <w:rsid w:val="009C0629"/>
    <w:rsid w:val="009C0B9D"/>
    <w:rsid w:val="009C211C"/>
    <w:rsid w:val="009C34B3"/>
    <w:rsid w:val="009C4EAF"/>
    <w:rsid w:val="009C5184"/>
    <w:rsid w:val="009C5354"/>
    <w:rsid w:val="009C5E2F"/>
    <w:rsid w:val="009C629A"/>
    <w:rsid w:val="009C6A0F"/>
    <w:rsid w:val="009C753B"/>
    <w:rsid w:val="009C7DC0"/>
    <w:rsid w:val="009D043E"/>
    <w:rsid w:val="009D1833"/>
    <w:rsid w:val="009D2368"/>
    <w:rsid w:val="009D5464"/>
    <w:rsid w:val="009D61EE"/>
    <w:rsid w:val="009D71AD"/>
    <w:rsid w:val="009E0592"/>
    <w:rsid w:val="009E1829"/>
    <w:rsid w:val="009E23FC"/>
    <w:rsid w:val="009E3648"/>
    <w:rsid w:val="009E3AEC"/>
    <w:rsid w:val="009E5D86"/>
    <w:rsid w:val="009E73DE"/>
    <w:rsid w:val="009F07F0"/>
    <w:rsid w:val="009F0EB3"/>
    <w:rsid w:val="009F1490"/>
    <w:rsid w:val="009F1BF3"/>
    <w:rsid w:val="009F220F"/>
    <w:rsid w:val="009F37F6"/>
    <w:rsid w:val="009F4290"/>
    <w:rsid w:val="009F4550"/>
    <w:rsid w:val="009F505C"/>
    <w:rsid w:val="009F5B08"/>
    <w:rsid w:val="009F60E5"/>
    <w:rsid w:val="009F6BAD"/>
    <w:rsid w:val="009F6F7A"/>
    <w:rsid w:val="009F75EA"/>
    <w:rsid w:val="00A036E7"/>
    <w:rsid w:val="00A03E7E"/>
    <w:rsid w:val="00A041E4"/>
    <w:rsid w:val="00A048A7"/>
    <w:rsid w:val="00A0539A"/>
    <w:rsid w:val="00A06A8A"/>
    <w:rsid w:val="00A071B6"/>
    <w:rsid w:val="00A07A8C"/>
    <w:rsid w:val="00A10037"/>
    <w:rsid w:val="00A11CFD"/>
    <w:rsid w:val="00A12021"/>
    <w:rsid w:val="00A132FD"/>
    <w:rsid w:val="00A1393A"/>
    <w:rsid w:val="00A14495"/>
    <w:rsid w:val="00A147A5"/>
    <w:rsid w:val="00A14B8D"/>
    <w:rsid w:val="00A14C24"/>
    <w:rsid w:val="00A16EEC"/>
    <w:rsid w:val="00A1722D"/>
    <w:rsid w:val="00A20451"/>
    <w:rsid w:val="00A2256C"/>
    <w:rsid w:val="00A22833"/>
    <w:rsid w:val="00A24E78"/>
    <w:rsid w:val="00A25245"/>
    <w:rsid w:val="00A252E6"/>
    <w:rsid w:val="00A25861"/>
    <w:rsid w:val="00A2591F"/>
    <w:rsid w:val="00A25DD7"/>
    <w:rsid w:val="00A26585"/>
    <w:rsid w:val="00A270EE"/>
    <w:rsid w:val="00A27441"/>
    <w:rsid w:val="00A2789A"/>
    <w:rsid w:val="00A27BCC"/>
    <w:rsid w:val="00A27D50"/>
    <w:rsid w:val="00A3031C"/>
    <w:rsid w:val="00A31464"/>
    <w:rsid w:val="00A321BF"/>
    <w:rsid w:val="00A340DF"/>
    <w:rsid w:val="00A348A2"/>
    <w:rsid w:val="00A348C6"/>
    <w:rsid w:val="00A34B8D"/>
    <w:rsid w:val="00A36109"/>
    <w:rsid w:val="00A37444"/>
    <w:rsid w:val="00A37B8E"/>
    <w:rsid w:val="00A400E5"/>
    <w:rsid w:val="00A404FF"/>
    <w:rsid w:val="00A409F2"/>
    <w:rsid w:val="00A4187C"/>
    <w:rsid w:val="00A41986"/>
    <w:rsid w:val="00A43510"/>
    <w:rsid w:val="00A43684"/>
    <w:rsid w:val="00A44B8A"/>
    <w:rsid w:val="00A44BA8"/>
    <w:rsid w:val="00A4560B"/>
    <w:rsid w:val="00A47083"/>
    <w:rsid w:val="00A47435"/>
    <w:rsid w:val="00A50057"/>
    <w:rsid w:val="00A50A56"/>
    <w:rsid w:val="00A50B70"/>
    <w:rsid w:val="00A50C50"/>
    <w:rsid w:val="00A51A09"/>
    <w:rsid w:val="00A536A8"/>
    <w:rsid w:val="00A537FA"/>
    <w:rsid w:val="00A53D73"/>
    <w:rsid w:val="00A55556"/>
    <w:rsid w:val="00A55BA4"/>
    <w:rsid w:val="00A56BAB"/>
    <w:rsid w:val="00A57882"/>
    <w:rsid w:val="00A57EFC"/>
    <w:rsid w:val="00A601CA"/>
    <w:rsid w:val="00A61754"/>
    <w:rsid w:val="00A622CC"/>
    <w:rsid w:val="00A63969"/>
    <w:rsid w:val="00A64599"/>
    <w:rsid w:val="00A662E3"/>
    <w:rsid w:val="00A6656D"/>
    <w:rsid w:val="00A66C88"/>
    <w:rsid w:val="00A670E9"/>
    <w:rsid w:val="00A7212D"/>
    <w:rsid w:val="00A72E2E"/>
    <w:rsid w:val="00A7347C"/>
    <w:rsid w:val="00A7416B"/>
    <w:rsid w:val="00A75840"/>
    <w:rsid w:val="00A75938"/>
    <w:rsid w:val="00A75A93"/>
    <w:rsid w:val="00A75A95"/>
    <w:rsid w:val="00A75D7D"/>
    <w:rsid w:val="00A7706A"/>
    <w:rsid w:val="00A771F8"/>
    <w:rsid w:val="00A77279"/>
    <w:rsid w:val="00A77477"/>
    <w:rsid w:val="00A77604"/>
    <w:rsid w:val="00A80E0B"/>
    <w:rsid w:val="00A82589"/>
    <w:rsid w:val="00A83185"/>
    <w:rsid w:val="00A83A1F"/>
    <w:rsid w:val="00A8472D"/>
    <w:rsid w:val="00A84952"/>
    <w:rsid w:val="00A84CE4"/>
    <w:rsid w:val="00A85EDD"/>
    <w:rsid w:val="00A8710F"/>
    <w:rsid w:val="00A87C1B"/>
    <w:rsid w:val="00A87D1B"/>
    <w:rsid w:val="00A90AFB"/>
    <w:rsid w:val="00A91468"/>
    <w:rsid w:val="00A923EC"/>
    <w:rsid w:val="00A93633"/>
    <w:rsid w:val="00A937E1"/>
    <w:rsid w:val="00A946D4"/>
    <w:rsid w:val="00A947E3"/>
    <w:rsid w:val="00A94D42"/>
    <w:rsid w:val="00A94F5B"/>
    <w:rsid w:val="00A962FF"/>
    <w:rsid w:val="00A96886"/>
    <w:rsid w:val="00A974C6"/>
    <w:rsid w:val="00A978B8"/>
    <w:rsid w:val="00AA1325"/>
    <w:rsid w:val="00AA13AC"/>
    <w:rsid w:val="00AA15A2"/>
    <w:rsid w:val="00AA1DF5"/>
    <w:rsid w:val="00AA2A10"/>
    <w:rsid w:val="00AA2D99"/>
    <w:rsid w:val="00AA3BF6"/>
    <w:rsid w:val="00AA4795"/>
    <w:rsid w:val="00AA5485"/>
    <w:rsid w:val="00AA6EFD"/>
    <w:rsid w:val="00AB0637"/>
    <w:rsid w:val="00AB1260"/>
    <w:rsid w:val="00AB1A47"/>
    <w:rsid w:val="00AB47B5"/>
    <w:rsid w:val="00AB4BD8"/>
    <w:rsid w:val="00AB4D24"/>
    <w:rsid w:val="00AB668B"/>
    <w:rsid w:val="00AB7686"/>
    <w:rsid w:val="00AC078D"/>
    <w:rsid w:val="00AC0B42"/>
    <w:rsid w:val="00AC1591"/>
    <w:rsid w:val="00AC1D0D"/>
    <w:rsid w:val="00AC2636"/>
    <w:rsid w:val="00AC268A"/>
    <w:rsid w:val="00AC2A2F"/>
    <w:rsid w:val="00AC31B7"/>
    <w:rsid w:val="00AC38CE"/>
    <w:rsid w:val="00AC4530"/>
    <w:rsid w:val="00AC5B8A"/>
    <w:rsid w:val="00AC61D2"/>
    <w:rsid w:val="00AC68F0"/>
    <w:rsid w:val="00AD0610"/>
    <w:rsid w:val="00AD172A"/>
    <w:rsid w:val="00AD182B"/>
    <w:rsid w:val="00AD2139"/>
    <w:rsid w:val="00AD2284"/>
    <w:rsid w:val="00AD26F5"/>
    <w:rsid w:val="00AD27BF"/>
    <w:rsid w:val="00AD4082"/>
    <w:rsid w:val="00AD52F6"/>
    <w:rsid w:val="00AD6543"/>
    <w:rsid w:val="00AD6D56"/>
    <w:rsid w:val="00AD71F8"/>
    <w:rsid w:val="00AD727A"/>
    <w:rsid w:val="00AE324F"/>
    <w:rsid w:val="00AE3387"/>
    <w:rsid w:val="00AE348C"/>
    <w:rsid w:val="00AE38DE"/>
    <w:rsid w:val="00AE3E83"/>
    <w:rsid w:val="00AE4738"/>
    <w:rsid w:val="00AE584F"/>
    <w:rsid w:val="00AE5942"/>
    <w:rsid w:val="00AE61FE"/>
    <w:rsid w:val="00AE70BB"/>
    <w:rsid w:val="00AE7CDE"/>
    <w:rsid w:val="00AE7F1B"/>
    <w:rsid w:val="00AF0DEC"/>
    <w:rsid w:val="00AF0E6E"/>
    <w:rsid w:val="00AF211C"/>
    <w:rsid w:val="00AF368B"/>
    <w:rsid w:val="00AF3A9C"/>
    <w:rsid w:val="00AF5674"/>
    <w:rsid w:val="00AF5CAB"/>
    <w:rsid w:val="00AF72B5"/>
    <w:rsid w:val="00AF746A"/>
    <w:rsid w:val="00B013DB"/>
    <w:rsid w:val="00B01557"/>
    <w:rsid w:val="00B01595"/>
    <w:rsid w:val="00B01681"/>
    <w:rsid w:val="00B029EC"/>
    <w:rsid w:val="00B02FBC"/>
    <w:rsid w:val="00B034EA"/>
    <w:rsid w:val="00B0376B"/>
    <w:rsid w:val="00B037AF"/>
    <w:rsid w:val="00B05B0D"/>
    <w:rsid w:val="00B06863"/>
    <w:rsid w:val="00B0688E"/>
    <w:rsid w:val="00B06AC3"/>
    <w:rsid w:val="00B070BB"/>
    <w:rsid w:val="00B07563"/>
    <w:rsid w:val="00B07ED7"/>
    <w:rsid w:val="00B115EE"/>
    <w:rsid w:val="00B1174B"/>
    <w:rsid w:val="00B12AF4"/>
    <w:rsid w:val="00B13B02"/>
    <w:rsid w:val="00B14014"/>
    <w:rsid w:val="00B151D0"/>
    <w:rsid w:val="00B15D71"/>
    <w:rsid w:val="00B15FBA"/>
    <w:rsid w:val="00B15FD0"/>
    <w:rsid w:val="00B177BE"/>
    <w:rsid w:val="00B20CE8"/>
    <w:rsid w:val="00B20E18"/>
    <w:rsid w:val="00B210EE"/>
    <w:rsid w:val="00B23D54"/>
    <w:rsid w:val="00B24846"/>
    <w:rsid w:val="00B2491C"/>
    <w:rsid w:val="00B24BE8"/>
    <w:rsid w:val="00B24DAD"/>
    <w:rsid w:val="00B25E02"/>
    <w:rsid w:val="00B26265"/>
    <w:rsid w:val="00B27349"/>
    <w:rsid w:val="00B30390"/>
    <w:rsid w:val="00B304C6"/>
    <w:rsid w:val="00B31B4B"/>
    <w:rsid w:val="00B32AE1"/>
    <w:rsid w:val="00B333C4"/>
    <w:rsid w:val="00B337AF"/>
    <w:rsid w:val="00B33BBC"/>
    <w:rsid w:val="00B3502D"/>
    <w:rsid w:val="00B354DB"/>
    <w:rsid w:val="00B3653E"/>
    <w:rsid w:val="00B410BB"/>
    <w:rsid w:val="00B41C08"/>
    <w:rsid w:val="00B4376F"/>
    <w:rsid w:val="00B45286"/>
    <w:rsid w:val="00B46ABA"/>
    <w:rsid w:val="00B50285"/>
    <w:rsid w:val="00B5062F"/>
    <w:rsid w:val="00B50822"/>
    <w:rsid w:val="00B51F9C"/>
    <w:rsid w:val="00B52985"/>
    <w:rsid w:val="00B545CD"/>
    <w:rsid w:val="00B54C60"/>
    <w:rsid w:val="00B553F8"/>
    <w:rsid w:val="00B559E8"/>
    <w:rsid w:val="00B56176"/>
    <w:rsid w:val="00B562F2"/>
    <w:rsid w:val="00B56F41"/>
    <w:rsid w:val="00B57BD8"/>
    <w:rsid w:val="00B621F7"/>
    <w:rsid w:val="00B6322E"/>
    <w:rsid w:val="00B648A4"/>
    <w:rsid w:val="00B64B88"/>
    <w:rsid w:val="00B66065"/>
    <w:rsid w:val="00B66B24"/>
    <w:rsid w:val="00B6717A"/>
    <w:rsid w:val="00B67E9C"/>
    <w:rsid w:val="00B719BF"/>
    <w:rsid w:val="00B72EF2"/>
    <w:rsid w:val="00B7352E"/>
    <w:rsid w:val="00B74836"/>
    <w:rsid w:val="00B74D84"/>
    <w:rsid w:val="00B7721B"/>
    <w:rsid w:val="00B7723F"/>
    <w:rsid w:val="00B7736D"/>
    <w:rsid w:val="00B77998"/>
    <w:rsid w:val="00B77C20"/>
    <w:rsid w:val="00B800E1"/>
    <w:rsid w:val="00B80545"/>
    <w:rsid w:val="00B805ED"/>
    <w:rsid w:val="00B80898"/>
    <w:rsid w:val="00B81362"/>
    <w:rsid w:val="00B81D24"/>
    <w:rsid w:val="00B82168"/>
    <w:rsid w:val="00B8248E"/>
    <w:rsid w:val="00B83059"/>
    <w:rsid w:val="00B83E07"/>
    <w:rsid w:val="00B83FF6"/>
    <w:rsid w:val="00B84DE1"/>
    <w:rsid w:val="00B85A04"/>
    <w:rsid w:val="00B85DB6"/>
    <w:rsid w:val="00B85F71"/>
    <w:rsid w:val="00B865D8"/>
    <w:rsid w:val="00B866B6"/>
    <w:rsid w:val="00B86BB3"/>
    <w:rsid w:val="00B86D15"/>
    <w:rsid w:val="00B877D2"/>
    <w:rsid w:val="00B878DB"/>
    <w:rsid w:val="00B87FE5"/>
    <w:rsid w:val="00B9030C"/>
    <w:rsid w:val="00B904FC"/>
    <w:rsid w:val="00B920FC"/>
    <w:rsid w:val="00B92288"/>
    <w:rsid w:val="00B928A1"/>
    <w:rsid w:val="00B92AE7"/>
    <w:rsid w:val="00B94D40"/>
    <w:rsid w:val="00B95C4C"/>
    <w:rsid w:val="00B96612"/>
    <w:rsid w:val="00B96793"/>
    <w:rsid w:val="00B96FCE"/>
    <w:rsid w:val="00B97289"/>
    <w:rsid w:val="00B97501"/>
    <w:rsid w:val="00BA097D"/>
    <w:rsid w:val="00BA1A73"/>
    <w:rsid w:val="00BA1FC8"/>
    <w:rsid w:val="00BA22CE"/>
    <w:rsid w:val="00BA287B"/>
    <w:rsid w:val="00BA3BD4"/>
    <w:rsid w:val="00BA3F9A"/>
    <w:rsid w:val="00BA4F84"/>
    <w:rsid w:val="00BA533C"/>
    <w:rsid w:val="00BA557C"/>
    <w:rsid w:val="00BA5D6F"/>
    <w:rsid w:val="00BA6302"/>
    <w:rsid w:val="00BA7C48"/>
    <w:rsid w:val="00BA7E2E"/>
    <w:rsid w:val="00BB0402"/>
    <w:rsid w:val="00BB0641"/>
    <w:rsid w:val="00BB06CE"/>
    <w:rsid w:val="00BB0EA5"/>
    <w:rsid w:val="00BB123F"/>
    <w:rsid w:val="00BB32A4"/>
    <w:rsid w:val="00BB3680"/>
    <w:rsid w:val="00BB3C0B"/>
    <w:rsid w:val="00BB473E"/>
    <w:rsid w:val="00BB4A5C"/>
    <w:rsid w:val="00BB4E30"/>
    <w:rsid w:val="00BB5D80"/>
    <w:rsid w:val="00BB6461"/>
    <w:rsid w:val="00BB6C25"/>
    <w:rsid w:val="00BC02EE"/>
    <w:rsid w:val="00BC04AD"/>
    <w:rsid w:val="00BC42DA"/>
    <w:rsid w:val="00BC431F"/>
    <w:rsid w:val="00BC46CC"/>
    <w:rsid w:val="00BC5AC5"/>
    <w:rsid w:val="00BC69AA"/>
    <w:rsid w:val="00BC6C4C"/>
    <w:rsid w:val="00BC6CF0"/>
    <w:rsid w:val="00BC72F8"/>
    <w:rsid w:val="00BC7A21"/>
    <w:rsid w:val="00BC7B82"/>
    <w:rsid w:val="00BD128D"/>
    <w:rsid w:val="00BD1BE7"/>
    <w:rsid w:val="00BD1C9D"/>
    <w:rsid w:val="00BD1D72"/>
    <w:rsid w:val="00BD3AC2"/>
    <w:rsid w:val="00BD4949"/>
    <w:rsid w:val="00BD4FE6"/>
    <w:rsid w:val="00BD5454"/>
    <w:rsid w:val="00BD5740"/>
    <w:rsid w:val="00BD601E"/>
    <w:rsid w:val="00BD60A6"/>
    <w:rsid w:val="00BD6688"/>
    <w:rsid w:val="00BD7043"/>
    <w:rsid w:val="00BD7761"/>
    <w:rsid w:val="00BE0EFB"/>
    <w:rsid w:val="00BE29E6"/>
    <w:rsid w:val="00BE2E01"/>
    <w:rsid w:val="00BE33F6"/>
    <w:rsid w:val="00BE3479"/>
    <w:rsid w:val="00BE4A89"/>
    <w:rsid w:val="00BE67BA"/>
    <w:rsid w:val="00BE6CD6"/>
    <w:rsid w:val="00BE7571"/>
    <w:rsid w:val="00BF1215"/>
    <w:rsid w:val="00BF1765"/>
    <w:rsid w:val="00BF1DEF"/>
    <w:rsid w:val="00BF37E4"/>
    <w:rsid w:val="00BF407B"/>
    <w:rsid w:val="00BF444C"/>
    <w:rsid w:val="00BF454C"/>
    <w:rsid w:val="00BF48E6"/>
    <w:rsid w:val="00BF567E"/>
    <w:rsid w:val="00BF6313"/>
    <w:rsid w:val="00BF6623"/>
    <w:rsid w:val="00BF70F4"/>
    <w:rsid w:val="00BF7C77"/>
    <w:rsid w:val="00C0062F"/>
    <w:rsid w:val="00C007ED"/>
    <w:rsid w:val="00C00DC3"/>
    <w:rsid w:val="00C012D3"/>
    <w:rsid w:val="00C01830"/>
    <w:rsid w:val="00C01936"/>
    <w:rsid w:val="00C01ADC"/>
    <w:rsid w:val="00C02032"/>
    <w:rsid w:val="00C02055"/>
    <w:rsid w:val="00C021A8"/>
    <w:rsid w:val="00C03541"/>
    <w:rsid w:val="00C036C3"/>
    <w:rsid w:val="00C03DC2"/>
    <w:rsid w:val="00C03E9E"/>
    <w:rsid w:val="00C049E0"/>
    <w:rsid w:val="00C05E8B"/>
    <w:rsid w:val="00C06557"/>
    <w:rsid w:val="00C06D6A"/>
    <w:rsid w:val="00C07919"/>
    <w:rsid w:val="00C07AE2"/>
    <w:rsid w:val="00C07F7F"/>
    <w:rsid w:val="00C10E5E"/>
    <w:rsid w:val="00C122CF"/>
    <w:rsid w:val="00C1231C"/>
    <w:rsid w:val="00C15244"/>
    <w:rsid w:val="00C1532C"/>
    <w:rsid w:val="00C155D6"/>
    <w:rsid w:val="00C15F32"/>
    <w:rsid w:val="00C16965"/>
    <w:rsid w:val="00C16C0D"/>
    <w:rsid w:val="00C1753B"/>
    <w:rsid w:val="00C21C56"/>
    <w:rsid w:val="00C22806"/>
    <w:rsid w:val="00C235F7"/>
    <w:rsid w:val="00C23C14"/>
    <w:rsid w:val="00C24189"/>
    <w:rsid w:val="00C24228"/>
    <w:rsid w:val="00C24F2D"/>
    <w:rsid w:val="00C33B25"/>
    <w:rsid w:val="00C33D7A"/>
    <w:rsid w:val="00C342E0"/>
    <w:rsid w:val="00C346F7"/>
    <w:rsid w:val="00C3521D"/>
    <w:rsid w:val="00C36662"/>
    <w:rsid w:val="00C36F2A"/>
    <w:rsid w:val="00C37343"/>
    <w:rsid w:val="00C37375"/>
    <w:rsid w:val="00C404F4"/>
    <w:rsid w:val="00C41A03"/>
    <w:rsid w:val="00C41D75"/>
    <w:rsid w:val="00C41F00"/>
    <w:rsid w:val="00C43BA8"/>
    <w:rsid w:val="00C440B7"/>
    <w:rsid w:val="00C45829"/>
    <w:rsid w:val="00C45E4C"/>
    <w:rsid w:val="00C45F5C"/>
    <w:rsid w:val="00C472C3"/>
    <w:rsid w:val="00C51994"/>
    <w:rsid w:val="00C52178"/>
    <w:rsid w:val="00C5248E"/>
    <w:rsid w:val="00C53013"/>
    <w:rsid w:val="00C5345B"/>
    <w:rsid w:val="00C54E92"/>
    <w:rsid w:val="00C54FC3"/>
    <w:rsid w:val="00C554DB"/>
    <w:rsid w:val="00C55C44"/>
    <w:rsid w:val="00C5614F"/>
    <w:rsid w:val="00C56621"/>
    <w:rsid w:val="00C60436"/>
    <w:rsid w:val="00C61079"/>
    <w:rsid w:val="00C6166A"/>
    <w:rsid w:val="00C61829"/>
    <w:rsid w:val="00C619FB"/>
    <w:rsid w:val="00C61CF5"/>
    <w:rsid w:val="00C62776"/>
    <w:rsid w:val="00C62CF2"/>
    <w:rsid w:val="00C63969"/>
    <w:rsid w:val="00C644CE"/>
    <w:rsid w:val="00C6525D"/>
    <w:rsid w:val="00C65859"/>
    <w:rsid w:val="00C65D53"/>
    <w:rsid w:val="00C66481"/>
    <w:rsid w:val="00C666CF"/>
    <w:rsid w:val="00C67161"/>
    <w:rsid w:val="00C67A35"/>
    <w:rsid w:val="00C705BD"/>
    <w:rsid w:val="00C705FD"/>
    <w:rsid w:val="00C70E2C"/>
    <w:rsid w:val="00C728C6"/>
    <w:rsid w:val="00C734D7"/>
    <w:rsid w:val="00C734DF"/>
    <w:rsid w:val="00C73D67"/>
    <w:rsid w:val="00C7410F"/>
    <w:rsid w:val="00C74214"/>
    <w:rsid w:val="00C7445B"/>
    <w:rsid w:val="00C7463E"/>
    <w:rsid w:val="00C746C1"/>
    <w:rsid w:val="00C75D1E"/>
    <w:rsid w:val="00C766A3"/>
    <w:rsid w:val="00C7745A"/>
    <w:rsid w:val="00C775D3"/>
    <w:rsid w:val="00C7797B"/>
    <w:rsid w:val="00C77D26"/>
    <w:rsid w:val="00C800E7"/>
    <w:rsid w:val="00C82619"/>
    <w:rsid w:val="00C83197"/>
    <w:rsid w:val="00C85B4D"/>
    <w:rsid w:val="00C87882"/>
    <w:rsid w:val="00C903B5"/>
    <w:rsid w:val="00C90D57"/>
    <w:rsid w:val="00C923D5"/>
    <w:rsid w:val="00C935BC"/>
    <w:rsid w:val="00C93828"/>
    <w:rsid w:val="00C93B47"/>
    <w:rsid w:val="00C93CB4"/>
    <w:rsid w:val="00C94AAE"/>
    <w:rsid w:val="00C94E32"/>
    <w:rsid w:val="00C952B7"/>
    <w:rsid w:val="00C962DD"/>
    <w:rsid w:val="00C96996"/>
    <w:rsid w:val="00C96B2B"/>
    <w:rsid w:val="00C97044"/>
    <w:rsid w:val="00CA0595"/>
    <w:rsid w:val="00CA1351"/>
    <w:rsid w:val="00CA16AB"/>
    <w:rsid w:val="00CA1EC4"/>
    <w:rsid w:val="00CA2257"/>
    <w:rsid w:val="00CA2505"/>
    <w:rsid w:val="00CA2E28"/>
    <w:rsid w:val="00CA30D2"/>
    <w:rsid w:val="00CA406A"/>
    <w:rsid w:val="00CA410B"/>
    <w:rsid w:val="00CA4268"/>
    <w:rsid w:val="00CA56FB"/>
    <w:rsid w:val="00CA6394"/>
    <w:rsid w:val="00CA6A09"/>
    <w:rsid w:val="00CA7A03"/>
    <w:rsid w:val="00CA7B0B"/>
    <w:rsid w:val="00CB08A5"/>
    <w:rsid w:val="00CB1361"/>
    <w:rsid w:val="00CB1491"/>
    <w:rsid w:val="00CB15F6"/>
    <w:rsid w:val="00CB2368"/>
    <w:rsid w:val="00CB3084"/>
    <w:rsid w:val="00CB3571"/>
    <w:rsid w:val="00CB3EFB"/>
    <w:rsid w:val="00CB51F1"/>
    <w:rsid w:val="00CB5D3F"/>
    <w:rsid w:val="00CB79CF"/>
    <w:rsid w:val="00CB7D38"/>
    <w:rsid w:val="00CC1A3B"/>
    <w:rsid w:val="00CC1D42"/>
    <w:rsid w:val="00CC2ABA"/>
    <w:rsid w:val="00CC30B8"/>
    <w:rsid w:val="00CC4297"/>
    <w:rsid w:val="00CC478D"/>
    <w:rsid w:val="00CC5CCE"/>
    <w:rsid w:val="00CC5E1A"/>
    <w:rsid w:val="00CC62B3"/>
    <w:rsid w:val="00CD1233"/>
    <w:rsid w:val="00CD13CA"/>
    <w:rsid w:val="00CD1DC5"/>
    <w:rsid w:val="00CD3B54"/>
    <w:rsid w:val="00CD3ECA"/>
    <w:rsid w:val="00CD5345"/>
    <w:rsid w:val="00CD57C0"/>
    <w:rsid w:val="00CD5879"/>
    <w:rsid w:val="00CE0A8A"/>
    <w:rsid w:val="00CE12F1"/>
    <w:rsid w:val="00CE16AF"/>
    <w:rsid w:val="00CE2A37"/>
    <w:rsid w:val="00CE344B"/>
    <w:rsid w:val="00CE3668"/>
    <w:rsid w:val="00CE4000"/>
    <w:rsid w:val="00CE41CF"/>
    <w:rsid w:val="00CE42B8"/>
    <w:rsid w:val="00CE524F"/>
    <w:rsid w:val="00CE5637"/>
    <w:rsid w:val="00CE5EA9"/>
    <w:rsid w:val="00CE7CE0"/>
    <w:rsid w:val="00CF0344"/>
    <w:rsid w:val="00CF1BFF"/>
    <w:rsid w:val="00CF2856"/>
    <w:rsid w:val="00CF34FD"/>
    <w:rsid w:val="00CF3EE1"/>
    <w:rsid w:val="00CF66AC"/>
    <w:rsid w:val="00CF7AE5"/>
    <w:rsid w:val="00D00637"/>
    <w:rsid w:val="00D01347"/>
    <w:rsid w:val="00D01D88"/>
    <w:rsid w:val="00D02681"/>
    <w:rsid w:val="00D027F0"/>
    <w:rsid w:val="00D02F1E"/>
    <w:rsid w:val="00D02FE1"/>
    <w:rsid w:val="00D030B5"/>
    <w:rsid w:val="00D03184"/>
    <w:rsid w:val="00D039E7"/>
    <w:rsid w:val="00D03C8B"/>
    <w:rsid w:val="00D05726"/>
    <w:rsid w:val="00D05F9A"/>
    <w:rsid w:val="00D079C9"/>
    <w:rsid w:val="00D1016E"/>
    <w:rsid w:val="00D10F7B"/>
    <w:rsid w:val="00D11433"/>
    <w:rsid w:val="00D1143F"/>
    <w:rsid w:val="00D1290B"/>
    <w:rsid w:val="00D131C0"/>
    <w:rsid w:val="00D137E4"/>
    <w:rsid w:val="00D13820"/>
    <w:rsid w:val="00D13CC4"/>
    <w:rsid w:val="00D140C3"/>
    <w:rsid w:val="00D14BB7"/>
    <w:rsid w:val="00D14EA8"/>
    <w:rsid w:val="00D15743"/>
    <w:rsid w:val="00D159E1"/>
    <w:rsid w:val="00D17964"/>
    <w:rsid w:val="00D179C3"/>
    <w:rsid w:val="00D17A04"/>
    <w:rsid w:val="00D205CC"/>
    <w:rsid w:val="00D21C58"/>
    <w:rsid w:val="00D22033"/>
    <w:rsid w:val="00D225EA"/>
    <w:rsid w:val="00D22C99"/>
    <w:rsid w:val="00D22EBC"/>
    <w:rsid w:val="00D23FDB"/>
    <w:rsid w:val="00D24086"/>
    <w:rsid w:val="00D243FE"/>
    <w:rsid w:val="00D24411"/>
    <w:rsid w:val="00D246CF"/>
    <w:rsid w:val="00D24FA6"/>
    <w:rsid w:val="00D24FC8"/>
    <w:rsid w:val="00D279D6"/>
    <w:rsid w:val="00D279F4"/>
    <w:rsid w:val="00D27AD4"/>
    <w:rsid w:val="00D27BB2"/>
    <w:rsid w:val="00D300E0"/>
    <w:rsid w:val="00D30347"/>
    <w:rsid w:val="00D32066"/>
    <w:rsid w:val="00D33F74"/>
    <w:rsid w:val="00D33FC1"/>
    <w:rsid w:val="00D35AAD"/>
    <w:rsid w:val="00D35DDD"/>
    <w:rsid w:val="00D36190"/>
    <w:rsid w:val="00D401BE"/>
    <w:rsid w:val="00D4122A"/>
    <w:rsid w:val="00D4154B"/>
    <w:rsid w:val="00D41A6F"/>
    <w:rsid w:val="00D41D12"/>
    <w:rsid w:val="00D4268D"/>
    <w:rsid w:val="00D42DF2"/>
    <w:rsid w:val="00D42FD1"/>
    <w:rsid w:val="00D43855"/>
    <w:rsid w:val="00D44A77"/>
    <w:rsid w:val="00D46061"/>
    <w:rsid w:val="00D47F7E"/>
    <w:rsid w:val="00D47F9D"/>
    <w:rsid w:val="00D51085"/>
    <w:rsid w:val="00D51E15"/>
    <w:rsid w:val="00D51EB3"/>
    <w:rsid w:val="00D5247F"/>
    <w:rsid w:val="00D525E2"/>
    <w:rsid w:val="00D5298D"/>
    <w:rsid w:val="00D52D96"/>
    <w:rsid w:val="00D53307"/>
    <w:rsid w:val="00D5389E"/>
    <w:rsid w:val="00D545C5"/>
    <w:rsid w:val="00D56759"/>
    <w:rsid w:val="00D56F81"/>
    <w:rsid w:val="00D578AF"/>
    <w:rsid w:val="00D604E8"/>
    <w:rsid w:val="00D61E82"/>
    <w:rsid w:val="00D6220C"/>
    <w:rsid w:val="00D631E9"/>
    <w:rsid w:val="00D64409"/>
    <w:rsid w:val="00D64F8E"/>
    <w:rsid w:val="00D66B24"/>
    <w:rsid w:val="00D67E8A"/>
    <w:rsid w:val="00D70EB8"/>
    <w:rsid w:val="00D71096"/>
    <w:rsid w:val="00D7291C"/>
    <w:rsid w:val="00D7336E"/>
    <w:rsid w:val="00D746F2"/>
    <w:rsid w:val="00D7519E"/>
    <w:rsid w:val="00D76234"/>
    <w:rsid w:val="00D77D7F"/>
    <w:rsid w:val="00D80201"/>
    <w:rsid w:val="00D82226"/>
    <w:rsid w:val="00D824C6"/>
    <w:rsid w:val="00D82C7C"/>
    <w:rsid w:val="00D82FD8"/>
    <w:rsid w:val="00D83686"/>
    <w:rsid w:val="00D83BC7"/>
    <w:rsid w:val="00D873B0"/>
    <w:rsid w:val="00D878C6"/>
    <w:rsid w:val="00D87EEE"/>
    <w:rsid w:val="00D90108"/>
    <w:rsid w:val="00D9055F"/>
    <w:rsid w:val="00D90E68"/>
    <w:rsid w:val="00D91163"/>
    <w:rsid w:val="00D92E51"/>
    <w:rsid w:val="00D94490"/>
    <w:rsid w:val="00D94E5D"/>
    <w:rsid w:val="00D9528A"/>
    <w:rsid w:val="00D95E27"/>
    <w:rsid w:val="00D96925"/>
    <w:rsid w:val="00D96981"/>
    <w:rsid w:val="00DA0838"/>
    <w:rsid w:val="00DA0843"/>
    <w:rsid w:val="00DA10C9"/>
    <w:rsid w:val="00DA114E"/>
    <w:rsid w:val="00DA1786"/>
    <w:rsid w:val="00DA2484"/>
    <w:rsid w:val="00DA28B3"/>
    <w:rsid w:val="00DA2D9C"/>
    <w:rsid w:val="00DA31E6"/>
    <w:rsid w:val="00DA3D7E"/>
    <w:rsid w:val="00DA45A5"/>
    <w:rsid w:val="00DA4966"/>
    <w:rsid w:val="00DA4FE6"/>
    <w:rsid w:val="00DA580B"/>
    <w:rsid w:val="00DA64C0"/>
    <w:rsid w:val="00DA6B90"/>
    <w:rsid w:val="00DA7765"/>
    <w:rsid w:val="00DA7A7E"/>
    <w:rsid w:val="00DB0461"/>
    <w:rsid w:val="00DB1548"/>
    <w:rsid w:val="00DB1DC7"/>
    <w:rsid w:val="00DB1FD5"/>
    <w:rsid w:val="00DB27CF"/>
    <w:rsid w:val="00DB2DE8"/>
    <w:rsid w:val="00DB4DA3"/>
    <w:rsid w:val="00DB580B"/>
    <w:rsid w:val="00DB58AF"/>
    <w:rsid w:val="00DB6915"/>
    <w:rsid w:val="00DB6E41"/>
    <w:rsid w:val="00DB73FA"/>
    <w:rsid w:val="00DC3527"/>
    <w:rsid w:val="00DC457B"/>
    <w:rsid w:val="00DC4CA4"/>
    <w:rsid w:val="00DC55E3"/>
    <w:rsid w:val="00DC6CFA"/>
    <w:rsid w:val="00DC7029"/>
    <w:rsid w:val="00DC7095"/>
    <w:rsid w:val="00DC78A7"/>
    <w:rsid w:val="00DD0115"/>
    <w:rsid w:val="00DD0776"/>
    <w:rsid w:val="00DD0F55"/>
    <w:rsid w:val="00DD139A"/>
    <w:rsid w:val="00DD1978"/>
    <w:rsid w:val="00DD1A11"/>
    <w:rsid w:val="00DD1BC5"/>
    <w:rsid w:val="00DD1DE1"/>
    <w:rsid w:val="00DD2BE6"/>
    <w:rsid w:val="00DD2D1E"/>
    <w:rsid w:val="00DD61A4"/>
    <w:rsid w:val="00DD6B5A"/>
    <w:rsid w:val="00DD75DF"/>
    <w:rsid w:val="00DE100D"/>
    <w:rsid w:val="00DE176C"/>
    <w:rsid w:val="00DE2708"/>
    <w:rsid w:val="00DE412C"/>
    <w:rsid w:val="00DE42CE"/>
    <w:rsid w:val="00DE436A"/>
    <w:rsid w:val="00DE4F0D"/>
    <w:rsid w:val="00DE572C"/>
    <w:rsid w:val="00DE77FA"/>
    <w:rsid w:val="00DF060A"/>
    <w:rsid w:val="00DF2B2A"/>
    <w:rsid w:val="00DF2C99"/>
    <w:rsid w:val="00DF3D3B"/>
    <w:rsid w:val="00DF45E5"/>
    <w:rsid w:val="00DF55FB"/>
    <w:rsid w:val="00DF582C"/>
    <w:rsid w:val="00DF5EFB"/>
    <w:rsid w:val="00DF675A"/>
    <w:rsid w:val="00DF76E9"/>
    <w:rsid w:val="00DF7FCB"/>
    <w:rsid w:val="00E00583"/>
    <w:rsid w:val="00E01C8F"/>
    <w:rsid w:val="00E02011"/>
    <w:rsid w:val="00E0272C"/>
    <w:rsid w:val="00E030CA"/>
    <w:rsid w:val="00E0347A"/>
    <w:rsid w:val="00E043D6"/>
    <w:rsid w:val="00E04F43"/>
    <w:rsid w:val="00E05771"/>
    <w:rsid w:val="00E05A7E"/>
    <w:rsid w:val="00E063B3"/>
    <w:rsid w:val="00E06AFF"/>
    <w:rsid w:val="00E06C8A"/>
    <w:rsid w:val="00E106AD"/>
    <w:rsid w:val="00E121F5"/>
    <w:rsid w:val="00E1289F"/>
    <w:rsid w:val="00E133B6"/>
    <w:rsid w:val="00E13C23"/>
    <w:rsid w:val="00E15277"/>
    <w:rsid w:val="00E158EF"/>
    <w:rsid w:val="00E168F5"/>
    <w:rsid w:val="00E1764F"/>
    <w:rsid w:val="00E200AB"/>
    <w:rsid w:val="00E20932"/>
    <w:rsid w:val="00E21134"/>
    <w:rsid w:val="00E23089"/>
    <w:rsid w:val="00E23E4A"/>
    <w:rsid w:val="00E2463B"/>
    <w:rsid w:val="00E25FB5"/>
    <w:rsid w:val="00E26526"/>
    <w:rsid w:val="00E26954"/>
    <w:rsid w:val="00E30D18"/>
    <w:rsid w:val="00E314BD"/>
    <w:rsid w:val="00E31A67"/>
    <w:rsid w:val="00E32C9D"/>
    <w:rsid w:val="00E33BEA"/>
    <w:rsid w:val="00E34293"/>
    <w:rsid w:val="00E345E1"/>
    <w:rsid w:val="00E355AC"/>
    <w:rsid w:val="00E366B3"/>
    <w:rsid w:val="00E3684A"/>
    <w:rsid w:val="00E3737F"/>
    <w:rsid w:val="00E44221"/>
    <w:rsid w:val="00E4724B"/>
    <w:rsid w:val="00E47322"/>
    <w:rsid w:val="00E475E7"/>
    <w:rsid w:val="00E47622"/>
    <w:rsid w:val="00E503B8"/>
    <w:rsid w:val="00E513E0"/>
    <w:rsid w:val="00E533CD"/>
    <w:rsid w:val="00E55EB1"/>
    <w:rsid w:val="00E5621D"/>
    <w:rsid w:val="00E56577"/>
    <w:rsid w:val="00E56AAD"/>
    <w:rsid w:val="00E56B70"/>
    <w:rsid w:val="00E56C83"/>
    <w:rsid w:val="00E56CE6"/>
    <w:rsid w:val="00E56F25"/>
    <w:rsid w:val="00E5717A"/>
    <w:rsid w:val="00E602E3"/>
    <w:rsid w:val="00E61218"/>
    <w:rsid w:val="00E615C7"/>
    <w:rsid w:val="00E6170C"/>
    <w:rsid w:val="00E61CBB"/>
    <w:rsid w:val="00E62DAB"/>
    <w:rsid w:val="00E637C0"/>
    <w:rsid w:val="00E63C6F"/>
    <w:rsid w:val="00E64463"/>
    <w:rsid w:val="00E66305"/>
    <w:rsid w:val="00E669B0"/>
    <w:rsid w:val="00E669ED"/>
    <w:rsid w:val="00E66A04"/>
    <w:rsid w:val="00E66BD6"/>
    <w:rsid w:val="00E678AD"/>
    <w:rsid w:val="00E7092D"/>
    <w:rsid w:val="00E710F8"/>
    <w:rsid w:val="00E711C5"/>
    <w:rsid w:val="00E71520"/>
    <w:rsid w:val="00E71EB5"/>
    <w:rsid w:val="00E7236E"/>
    <w:rsid w:val="00E732FF"/>
    <w:rsid w:val="00E7339B"/>
    <w:rsid w:val="00E73E4D"/>
    <w:rsid w:val="00E7497F"/>
    <w:rsid w:val="00E76FC2"/>
    <w:rsid w:val="00E80F40"/>
    <w:rsid w:val="00E8119E"/>
    <w:rsid w:val="00E815E1"/>
    <w:rsid w:val="00E819B6"/>
    <w:rsid w:val="00E836B3"/>
    <w:rsid w:val="00E83777"/>
    <w:rsid w:val="00E83AA7"/>
    <w:rsid w:val="00E84D14"/>
    <w:rsid w:val="00E84F10"/>
    <w:rsid w:val="00E853F0"/>
    <w:rsid w:val="00E85700"/>
    <w:rsid w:val="00E86399"/>
    <w:rsid w:val="00E86B55"/>
    <w:rsid w:val="00E86CF1"/>
    <w:rsid w:val="00E87107"/>
    <w:rsid w:val="00E87B91"/>
    <w:rsid w:val="00E87DBD"/>
    <w:rsid w:val="00E901C1"/>
    <w:rsid w:val="00E913DC"/>
    <w:rsid w:val="00E9307A"/>
    <w:rsid w:val="00E9365A"/>
    <w:rsid w:val="00E93842"/>
    <w:rsid w:val="00E938B6"/>
    <w:rsid w:val="00E93948"/>
    <w:rsid w:val="00E94E17"/>
    <w:rsid w:val="00E95DE0"/>
    <w:rsid w:val="00E95E15"/>
    <w:rsid w:val="00EA3121"/>
    <w:rsid w:val="00EA37A1"/>
    <w:rsid w:val="00EA41B6"/>
    <w:rsid w:val="00EA78CA"/>
    <w:rsid w:val="00EA7D32"/>
    <w:rsid w:val="00EB0C49"/>
    <w:rsid w:val="00EB287D"/>
    <w:rsid w:val="00EB3402"/>
    <w:rsid w:val="00EB44FE"/>
    <w:rsid w:val="00EB6189"/>
    <w:rsid w:val="00EB678D"/>
    <w:rsid w:val="00EB71B9"/>
    <w:rsid w:val="00EB7450"/>
    <w:rsid w:val="00EB7EBA"/>
    <w:rsid w:val="00EC009B"/>
    <w:rsid w:val="00EC06FE"/>
    <w:rsid w:val="00EC0F00"/>
    <w:rsid w:val="00EC2543"/>
    <w:rsid w:val="00EC2593"/>
    <w:rsid w:val="00EC3E15"/>
    <w:rsid w:val="00EC48B1"/>
    <w:rsid w:val="00EC4A68"/>
    <w:rsid w:val="00EC52DD"/>
    <w:rsid w:val="00EC57E2"/>
    <w:rsid w:val="00EC5C69"/>
    <w:rsid w:val="00EC6A82"/>
    <w:rsid w:val="00ED18A3"/>
    <w:rsid w:val="00ED192C"/>
    <w:rsid w:val="00ED326B"/>
    <w:rsid w:val="00ED3355"/>
    <w:rsid w:val="00ED3B90"/>
    <w:rsid w:val="00ED611A"/>
    <w:rsid w:val="00ED6721"/>
    <w:rsid w:val="00ED7B57"/>
    <w:rsid w:val="00EE0FA1"/>
    <w:rsid w:val="00EE1318"/>
    <w:rsid w:val="00EE15F8"/>
    <w:rsid w:val="00EE3427"/>
    <w:rsid w:val="00EE4A79"/>
    <w:rsid w:val="00EE5D35"/>
    <w:rsid w:val="00EE6038"/>
    <w:rsid w:val="00EE6B7B"/>
    <w:rsid w:val="00EF2093"/>
    <w:rsid w:val="00EF243C"/>
    <w:rsid w:val="00EF2BE7"/>
    <w:rsid w:val="00EF34B1"/>
    <w:rsid w:val="00EF3B70"/>
    <w:rsid w:val="00EF44D5"/>
    <w:rsid w:val="00EF6DA2"/>
    <w:rsid w:val="00EF78BD"/>
    <w:rsid w:val="00EF7B82"/>
    <w:rsid w:val="00EF7B98"/>
    <w:rsid w:val="00F004AA"/>
    <w:rsid w:val="00F00AE5"/>
    <w:rsid w:val="00F00C68"/>
    <w:rsid w:val="00F020CD"/>
    <w:rsid w:val="00F027C3"/>
    <w:rsid w:val="00F02D3F"/>
    <w:rsid w:val="00F03F77"/>
    <w:rsid w:val="00F04691"/>
    <w:rsid w:val="00F05305"/>
    <w:rsid w:val="00F06C88"/>
    <w:rsid w:val="00F06D9C"/>
    <w:rsid w:val="00F0703B"/>
    <w:rsid w:val="00F07542"/>
    <w:rsid w:val="00F1033B"/>
    <w:rsid w:val="00F1060F"/>
    <w:rsid w:val="00F11F82"/>
    <w:rsid w:val="00F13826"/>
    <w:rsid w:val="00F13E7A"/>
    <w:rsid w:val="00F152B9"/>
    <w:rsid w:val="00F15405"/>
    <w:rsid w:val="00F17D27"/>
    <w:rsid w:val="00F21004"/>
    <w:rsid w:val="00F21E8E"/>
    <w:rsid w:val="00F22AD0"/>
    <w:rsid w:val="00F2392E"/>
    <w:rsid w:val="00F23D55"/>
    <w:rsid w:val="00F23E59"/>
    <w:rsid w:val="00F2446C"/>
    <w:rsid w:val="00F24E0A"/>
    <w:rsid w:val="00F25656"/>
    <w:rsid w:val="00F25AE5"/>
    <w:rsid w:val="00F26062"/>
    <w:rsid w:val="00F27B15"/>
    <w:rsid w:val="00F311FD"/>
    <w:rsid w:val="00F31956"/>
    <w:rsid w:val="00F31CC3"/>
    <w:rsid w:val="00F32834"/>
    <w:rsid w:val="00F32B22"/>
    <w:rsid w:val="00F33824"/>
    <w:rsid w:val="00F339DB"/>
    <w:rsid w:val="00F33B51"/>
    <w:rsid w:val="00F3479E"/>
    <w:rsid w:val="00F35AEB"/>
    <w:rsid w:val="00F3616B"/>
    <w:rsid w:val="00F374E1"/>
    <w:rsid w:val="00F37A4B"/>
    <w:rsid w:val="00F40DAF"/>
    <w:rsid w:val="00F4153A"/>
    <w:rsid w:val="00F42199"/>
    <w:rsid w:val="00F42670"/>
    <w:rsid w:val="00F42AED"/>
    <w:rsid w:val="00F4377F"/>
    <w:rsid w:val="00F44194"/>
    <w:rsid w:val="00F45170"/>
    <w:rsid w:val="00F454A3"/>
    <w:rsid w:val="00F46323"/>
    <w:rsid w:val="00F470EE"/>
    <w:rsid w:val="00F474F7"/>
    <w:rsid w:val="00F478EF"/>
    <w:rsid w:val="00F50020"/>
    <w:rsid w:val="00F50A5A"/>
    <w:rsid w:val="00F536B4"/>
    <w:rsid w:val="00F53B50"/>
    <w:rsid w:val="00F54019"/>
    <w:rsid w:val="00F55CDA"/>
    <w:rsid w:val="00F5685E"/>
    <w:rsid w:val="00F56B6B"/>
    <w:rsid w:val="00F57A6D"/>
    <w:rsid w:val="00F57C7B"/>
    <w:rsid w:val="00F57E17"/>
    <w:rsid w:val="00F61793"/>
    <w:rsid w:val="00F61AB4"/>
    <w:rsid w:val="00F62A98"/>
    <w:rsid w:val="00F6380F"/>
    <w:rsid w:val="00F63D9C"/>
    <w:rsid w:val="00F63FF0"/>
    <w:rsid w:val="00F65EA5"/>
    <w:rsid w:val="00F661B9"/>
    <w:rsid w:val="00F66331"/>
    <w:rsid w:val="00F671B1"/>
    <w:rsid w:val="00F70902"/>
    <w:rsid w:val="00F70B11"/>
    <w:rsid w:val="00F714CE"/>
    <w:rsid w:val="00F71EFB"/>
    <w:rsid w:val="00F72EB1"/>
    <w:rsid w:val="00F732BD"/>
    <w:rsid w:val="00F73996"/>
    <w:rsid w:val="00F74F1C"/>
    <w:rsid w:val="00F75071"/>
    <w:rsid w:val="00F7636A"/>
    <w:rsid w:val="00F76AC8"/>
    <w:rsid w:val="00F77587"/>
    <w:rsid w:val="00F80C68"/>
    <w:rsid w:val="00F81191"/>
    <w:rsid w:val="00F82A20"/>
    <w:rsid w:val="00F82BD7"/>
    <w:rsid w:val="00F83302"/>
    <w:rsid w:val="00F83CAD"/>
    <w:rsid w:val="00F840AB"/>
    <w:rsid w:val="00F854BC"/>
    <w:rsid w:val="00F85DFD"/>
    <w:rsid w:val="00F86E5E"/>
    <w:rsid w:val="00F8716F"/>
    <w:rsid w:val="00F87CB8"/>
    <w:rsid w:val="00F87D4B"/>
    <w:rsid w:val="00F87D9C"/>
    <w:rsid w:val="00F902D3"/>
    <w:rsid w:val="00F922C4"/>
    <w:rsid w:val="00F92E6C"/>
    <w:rsid w:val="00F932D0"/>
    <w:rsid w:val="00F93552"/>
    <w:rsid w:val="00F936AE"/>
    <w:rsid w:val="00F939BF"/>
    <w:rsid w:val="00F93AF0"/>
    <w:rsid w:val="00F93D0A"/>
    <w:rsid w:val="00F93DB1"/>
    <w:rsid w:val="00F94D82"/>
    <w:rsid w:val="00F95255"/>
    <w:rsid w:val="00F956DA"/>
    <w:rsid w:val="00F96C56"/>
    <w:rsid w:val="00F96C81"/>
    <w:rsid w:val="00F97078"/>
    <w:rsid w:val="00FA003D"/>
    <w:rsid w:val="00FA0153"/>
    <w:rsid w:val="00FA1436"/>
    <w:rsid w:val="00FA2147"/>
    <w:rsid w:val="00FA264A"/>
    <w:rsid w:val="00FA2D10"/>
    <w:rsid w:val="00FA3AE4"/>
    <w:rsid w:val="00FA4220"/>
    <w:rsid w:val="00FA455C"/>
    <w:rsid w:val="00FA54B7"/>
    <w:rsid w:val="00FA5CB2"/>
    <w:rsid w:val="00FA5F08"/>
    <w:rsid w:val="00FA6659"/>
    <w:rsid w:val="00FA6C5C"/>
    <w:rsid w:val="00FA7396"/>
    <w:rsid w:val="00FB0A5D"/>
    <w:rsid w:val="00FB0B01"/>
    <w:rsid w:val="00FB2317"/>
    <w:rsid w:val="00FB2542"/>
    <w:rsid w:val="00FB25D2"/>
    <w:rsid w:val="00FB2996"/>
    <w:rsid w:val="00FB34DC"/>
    <w:rsid w:val="00FB439A"/>
    <w:rsid w:val="00FB5309"/>
    <w:rsid w:val="00FB5CFE"/>
    <w:rsid w:val="00FB6F8C"/>
    <w:rsid w:val="00FB6FAE"/>
    <w:rsid w:val="00FB73BB"/>
    <w:rsid w:val="00FB7BF9"/>
    <w:rsid w:val="00FC022E"/>
    <w:rsid w:val="00FC08BF"/>
    <w:rsid w:val="00FC096B"/>
    <w:rsid w:val="00FC18F7"/>
    <w:rsid w:val="00FC1FD2"/>
    <w:rsid w:val="00FC2954"/>
    <w:rsid w:val="00FC2A3C"/>
    <w:rsid w:val="00FC38AC"/>
    <w:rsid w:val="00FC39C2"/>
    <w:rsid w:val="00FC4E5F"/>
    <w:rsid w:val="00FC5D20"/>
    <w:rsid w:val="00FC6174"/>
    <w:rsid w:val="00FC65E7"/>
    <w:rsid w:val="00FC69C8"/>
    <w:rsid w:val="00FC75B6"/>
    <w:rsid w:val="00FC78D0"/>
    <w:rsid w:val="00FC7BFE"/>
    <w:rsid w:val="00FC7FEF"/>
    <w:rsid w:val="00FD05C1"/>
    <w:rsid w:val="00FD1780"/>
    <w:rsid w:val="00FD2AE3"/>
    <w:rsid w:val="00FD3079"/>
    <w:rsid w:val="00FD35D5"/>
    <w:rsid w:val="00FD4101"/>
    <w:rsid w:val="00FD517D"/>
    <w:rsid w:val="00FD5E0B"/>
    <w:rsid w:val="00FD6F52"/>
    <w:rsid w:val="00FD7340"/>
    <w:rsid w:val="00FD745C"/>
    <w:rsid w:val="00FD7632"/>
    <w:rsid w:val="00FD7AD3"/>
    <w:rsid w:val="00FD7CF8"/>
    <w:rsid w:val="00FE1958"/>
    <w:rsid w:val="00FE2465"/>
    <w:rsid w:val="00FE4146"/>
    <w:rsid w:val="00FE5649"/>
    <w:rsid w:val="00FE70A6"/>
    <w:rsid w:val="00FF0ED1"/>
    <w:rsid w:val="00FF1C71"/>
    <w:rsid w:val="00FF2BB9"/>
    <w:rsid w:val="00FF3028"/>
    <w:rsid w:val="00FF306F"/>
    <w:rsid w:val="00FF3273"/>
    <w:rsid w:val="00FF32BF"/>
    <w:rsid w:val="00FF3AD2"/>
    <w:rsid w:val="00FF4F19"/>
    <w:rsid w:val="00FF5B7D"/>
    <w:rsid w:val="00FF62C6"/>
    <w:rsid w:val="00FF645F"/>
    <w:rsid w:val="00FF6930"/>
    <w:rsid w:val="00FF70FD"/>
    <w:rsid w:val="00FF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3CE28"/>
  <w15:docId w15:val="{F329B8CE-8A19-B34E-8D17-C089FDFF0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8A7"/>
    <w:pPr>
      <w:spacing w:after="0" w:line="240" w:lineRule="auto"/>
    </w:pPr>
    <w:rPr>
      <w:rFonts w:ascii="Calibri" w:hAnsi="Calibri" w:cs="Times New Roman"/>
    </w:rPr>
  </w:style>
  <w:style w:type="paragraph" w:styleId="Ttulo1">
    <w:name w:val="heading 1"/>
    <w:basedOn w:val="Normal"/>
    <w:link w:val="Ttulo1Car"/>
    <w:uiPriority w:val="9"/>
    <w:qFormat/>
    <w:rsid w:val="00B97501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3283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84669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FA5CB2"/>
    <w:pPr>
      <w:keepNext/>
      <w:keepLines/>
      <w:spacing w:after="120" w:line="245" w:lineRule="auto"/>
      <w:jc w:val="both"/>
      <w:outlineLvl w:val="2"/>
    </w:pPr>
    <w:rPr>
      <w:rFonts w:ascii="Arial" w:eastAsiaTheme="majorEastAsia" w:hAnsi="Arial" w:cstheme="majorBidi"/>
      <w:b/>
      <w:bCs/>
      <w:kern w:val="2"/>
      <w:sz w:val="24"/>
      <w:szCs w:val="21"/>
      <w14:ligatures w14:val="standardContextual"/>
    </w:rPr>
  </w:style>
  <w:style w:type="paragraph" w:styleId="Ttulo4">
    <w:name w:val="heading 4"/>
    <w:basedOn w:val="Normal"/>
    <w:next w:val="Normal"/>
    <w:link w:val="Ttulo4Car"/>
    <w:autoRedefine/>
    <w:uiPriority w:val="9"/>
    <w:unhideWhenUsed/>
    <w:qFormat/>
    <w:rsid w:val="00FA5CB2"/>
    <w:pPr>
      <w:keepNext/>
      <w:keepLines/>
      <w:numPr>
        <w:ilvl w:val="3"/>
        <w:numId w:val="12"/>
      </w:numPr>
      <w:spacing w:after="120" w:line="245" w:lineRule="auto"/>
      <w:jc w:val="both"/>
      <w:outlineLvl w:val="3"/>
    </w:pPr>
    <w:rPr>
      <w:rFonts w:ascii="Arial" w:eastAsiaTheme="majorEastAsia" w:hAnsi="Arial" w:cstheme="majorBidi"/>
      <w:b/>
      <w:bCs/>
      <w:iCs/>
      <w:kern w:val="2"/>
      <w:szCs w:val="21"/>
      <w14:ligatures w14:val="standardContextual"/>
    </w:rPr>
  </w:style>
  <w:style w:type="paragraph" w:styleId="Ttulo5">
    <w:name w:val="heading 5"/>
    <w:basedOn w:val="Normal"/>
    <w:next w:val="Normal"/>
    <w:link w:val="Ttulo5Car"/>
    <w:autoRedefine/>
    <w:uiPriority w:val="9"/>
    <w:unhideWhenUsed/>
    <w:qFormat/>
    <w:rsid w:val="00FA5CB2"/>
    <w:pPr>
      <w:keepNext/>
      <w:keepLines/>
      <w:numPr>
        <w:ilvl w:val="4"/>
        <w:numId w:val="12"/>
      </w:numPr>
      <w:spacing w:after="120" w:line="245" w:lineRule="auto"/>
      <w:jc w:val="both"/>
      <w:outlineLvl w:val="4"/>
    </w:pPr>
    <w:rPr>
      <w:rFonts w:asciiTheme="majorHAnsi" w:eastAsiaTheme="majorEastAsia" w:hAnsiTheme="majorHAnsi" w:cstheme="majorBidi"/>
      <w:kern w:val="2"/>
      <w:szCs w:val="21"/>
      <w14:ligatures w14:val="standardContextual"/>
    </w:rPr>
  </w:style>
  <w:style w:type="paragraph" w:styleId="Ttulo6">
    <w:name w:val="heading 6"/>
    <w:basedOn w:val="Normal"/>
    <w:next w:val="Normal"/>
    <w:link w:val="Ttulo6Car"/>
    <w:autoRedefine/>
    <w:uiPriority w:val="9"/>
    <w:unhideWhenUsed/>
    <w:qFormat/>
    <w:rsid w:val="00FA5CB2"/>
    <w:pPr>
      <w:keepNext/>
      <w:keepLines/>
      <w:numPr>
        <w:ilvl w:val="5"/>
        <w:numId w:val="12"/>
      </w:numPr>
      <w:spacing w:after="120" w:line="245" w:lineRule="auto"/>
      <w:jc w:val="both"/>
      <w:outlineLvl w:val="5"/>
    </w:pPr>
    <w:rPr>
      <w:rFonts w:ascii="Arial" w:eastAsiaTheme="majorEastAsia" w:hAnsi="Arial" w:cstheme="majorBidi"/>
      <w:i/>
      <w:iCs/>
      <w:kern w:val="2"/>
      <w:szCs w:val="21"/>
      <w14:ligatures w14:val="standardContextual"/>
    </w:rPr>
  </w:style>
  <w:style w:type="paragraph" w:styleId="Ttulo7">
    <w:name w:val="heading 7"/>
    <w:basedOn w:val="Normal"/>
    <w:next w:val="Normal"/>
    <w:link w:val="Ttulo7Car"/>
    <w:autoRedefine/>
    <w:uiPriority w:val="9"/>
    <w:unhideWhenUsed/>
    <w:qFormat/>
    <w:rsid w:val="00FA5CB2"/>
    <w:pPr>
      <w:keepNext/>
      <w:keepLines/>
      <w:numPr>
        <w:ilvl w:val="6"/>
        <w:numId w:val="12"/>
      </w:numPr>
      <w:spacing w:before="200" w:after="120" w:line="245" w:lineRule="auto"/>
      <w:jc w:val="both"/>
      <w:outlineLvl w:val="6"/>
    </w:pPr>
    <w:rPr>
      <w:rFonts w:ascii="Arial" w:eastAsiaTheme="majorEastAsia" w:hAnsi="Arial" w:cstheme="majorBidi"/>
      <w:i/>
      <w:iCs/>
      <w:color w:val="404040" w:themeColor="text1" w:themeTint="BF"/>
      <w:kern w:val="2"/>
      <w:szCs w:val="21"/>
      <w14:ligatures w14:val="standardContextual"/>
    </w:rPr>
  </w:style>
  <w:style w:type="paragraph" w:styleId="Ttulo8">
    <w:name w:val="heading 8"/>
    <w:basedOn w:val="Normal"/>
    <w:next w:val="Normal"/>
    <w:link w:val="Ttulo8Car"/>
    <w:autoRedefine/>
    <w:uiPriority w:val="9"/>
    <w:unhideWhenUsed/>
    <w:qFormat/>
    <w:rsid w:val="00FA5CB2"/>
    <w:pPr>
      <w:keepNext/>
      <w:keepLines/>
      <w:numPr>
        <w:ilvl w:val="7"/>
        <w:numId w:val="12"/>
      </w:numPr>
      <w:spacing w:before="80" w:after="120" w:line="245" w:lineRule="auto"/>
      <w:jc w:val="both"/>
      <w:outlineLvl w:val="7"/>
    </w:pPr>
    <w:rPr>
      <w:rFonts w:ascii="Arial" w:eastAsiaTheme="majorEastAsia" w:hAnsi="Arial" w:cstheme="majorBidi"/>
      <w:color w:val="404040" w:themeColor="text1" w:themeTint="BF"/>
      <w:kern w:val="2"/>
      <w:szCs w:val="21"/>
      <w14:ligatures w14:val="standardContextual"/>
    </w:rPr>
  </w:style>
  <w:style w:type="paragraph" w:styleId="Ttulo9">
    <w:name w:val="heading 9"/>
    <w:basedOn w:val="Normal"/>
    <w:next w:val="Normal"/>
    <w:link w:val="Ttulo9Car"/>
    <w:autoRedefine/>
    <w:uiPriority w:val="9"/>
    <w:unhideWhenUsed/>
    <w:qFormat/>
    <w:rsid w:val="00FA5CB2"/>
    <w:pPr>
      <w:keepNext/>
      <w:keepLines/>
      <w:numPr>
        <w:ilvl w:val="8"/>
        <w:numId w:val="12"/>
      </w:numPr>
      <w:spacing w:after="120" w:line="245" w:lineRule="auto"/>
      <w:jc w:val="both"/>
      <w:outlineLvl w:val="8"/>
    </w:pPr>
    <w:rPr>
      <w:rFonts w:ascii="Arial" w:eastAsiaTheme="majorEastAsia" w:hAnsi="Arial" w:cstheme="majorBidi"/>
      <w:i/>
      <w:iCs/>
      <w:color w:val="404040" w:themeColor="text1" w:themeTint="BF"/>
      <w:kern w:val="2"/>
      <w:szCs w:val="21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264D3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00A5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0A53"/>
    <w:rPr>
      <w:rFonts w:ascii="Segoe UI" w:hAnsi="Segoe UI" w:cs="Segoe UI"/>
      <w:sz w:val="18"/>
      <w:szCs w:val="18"/>
    </w:rPr>
  </w:style>
  <w:style w:type="character" w:customStyle="1" w:styleId="a">
    <w:name w:val="a"/>
    <w:basedOn w:val="Fuentedeprrafopredeter"/>
    <w:rsid w:val="00AE3E83"/>
  </w:style>
  <w:style w:type="character" w:customStyle="1" w:styleId="l6">
    <w:name w:val="l6"/>
    <w:basedOn w:val="Fuentedeprrafopredeter"/>
    <w:rsid w:val="00AE3E83"/>
  </w:style>
  <w:style w:type="character" w:customStyle="1" w:styleId="l7">
    <w:name w:val="l7"/>
    <w:basedOn w:val="Fuentedeprrafopredeter"/>
    <w:rsid w:val="00AE3E83"/>
  </w:style>
  <w:style w:type="character" w:customStyle="1" w:styleId="l8">
    <w:name w:val="l8"/>
    <w:basedOn w:val="Fuentedeprrafopredeter"/>
    <w:rsid w:val="00AE3E83"/>
  </w:style>
  <w:style w:type="character" w:customStyle="1" w:styleId="l">
    <w:name w:val="l"/>
    <w:basedOn w:val="Fuentedeprrafopredeter"/>
    <w:rsid w:val="00AE3E83"/>
  </w:style>
  <w:style w:type="character" w:customStyle="1" w:styleId="l9">
    <w:name w:val="l9"/>
    <w:basedOn w:val="Fuentedeprrafopredeter"/>
    <w:rsid w:val="00AE3E83"/>
  </w:style>
  <w:style w:type="character" w:customStyle="1" w:styleId="l10">
    <w:name w:val="l10"/>
    <w:basedOn w:val="Fuentedeprrafopredeter"/>
    <w:rsid w:val="00AE3E83"/>
  </w:style>
  <w:style w:type="character" w:customStyle="1" w:styleId="Ttulo1Car">
    <w:name w:val="Título 1 Car"/>
    <w:basedOn w:val="Fuentedeprrafopredeter"/>
    <w:link w:val="Ttulo1"/>
    <w:uiPriority w:val="9"/>
    <w:rsid w:val="00B97501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customStyle="1" w:styleId="meta">
    <w:name w:val="meta"/>
    <w:basedOn w:val="Normal"/>
    <w:rsid w:val="00B975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MX"/>
    </w:rPr>
  </w:style>
  <w:style w:type="character" w:styleId="Hipervnculo">
    <w:name w:val="Hyperlink"/>
    <w:basedOn w:val="Fuentedeprrafopredeter"/>
    <w:unhideWhenUsed/>
    <w:rsid w:val="00B97501"/>
    <w:rPr>
      <w:color w:val="0000FF"/>
      <w:u w:val="single"/>
    </w:rPr>
  </w:style>
  <w:style w:type="character" w:customStyle="1" w:styleId="in-widget">
    <w:name w:val="in-widget"/>
    <w:basedOn w:val="Fuentedeprrafopredeter"/>
    <w:rsid w:val="00B97501"/>
  </w:style>
  <w:style w:type="paragraph" w:styleId="NormalWeb">
    <w:name w:val="Normal (Web)"/>
    <w:basedOn w:val="Normal"/>
    <w:uiPriority w:val="99"/>
    <w:unhideWhenUsed/>
    <w:rsid w:val="00B975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B97501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F32834"/>
    <w:rPr>
      <w:rFonts w:asciiTheme="majorHAnsi" w:eastAsiaTheme="majorEastAsia" w:hAnsiTheme="majorHAnsi" w:cstheme="majorBidi"/>
      <w:color w:val="184669" w:themeColor="accent1" w:themeShade="BF"/>
      <w:sz w:val="26"/>
      <w:szCs w:val="26"/>
    </w:rPr>
  </w:style>
  <w:style w:type="paragraph" w:customStyle="1" w:styleId="Default">
    <w:name w:val="Default"/>
    <w:rsid w:val="00281F5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019E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019EF"/>
    <w:rPr>
      <w:rFonts w:ascii="Calibri" w:hAnsi="Calibri" w:cs="Times New Roman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2019EF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unhideWhenUsed/>
    <w:qFormat/>
    <w:rsid w:val="002019EF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2019EF"/>
    <w:rPr>
      <w:rFonts w:ascii="Calibri" w:hAnsi="Calibri"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019EF"/>
    <w:rPr>
      <w:vertAlign w:val="superscript"/>
    </w:rPr>
  </w:style>
  <w:style w:type="paragraph" w:styleId="Encabezado">
    <w:name w:val="header"/>
    <w:basedOn w:val="Normal"/>
    <w:link w:val="EncabezadoCar"/>
    <w:unhideWhenUsed/>
    <w:rsid w:val="006157E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157E5"/>
    <w:rPr>
      <w:rFonts w:ascii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6157E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157E5"/>
    <w:rPr>
      <w:rFonts w:ascii="Calibri" w:hAnsi="Calibri"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245E2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45E2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45E21"/>
    <w:rPr>
      <w:rFonts w:ascii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45E2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45E21"/>
    <w:rPr>
      <w:rFonts w:ascii="Calibri" w:hAnsi="Calibri" w:cs="Times New Roman"/>
      <w:b/>
      <w:bCs/>
      <w:sz w:val="20"/>
      <w:szCs w:val="2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23B2F"/>
    <w:rPr>
      <w:color w:val="605E5C"/>
      <w:shd w:val="clear" w:color="auto" w:fill="E1DFDD"/>
    </w:rPr>
  </w:style>
  <w:style w:type="table" w:styleId="Tabladelista2-nfasis1">
    <w:name w:val="List Table 2 Accent 1"/>
    <w:basedOn w:val="Tablanormal"/>
    <w:uiPriority w:val="47"/>
    <w:rsid w:val="00F96C56"/>
    <w:pPr>
      <w:spacing w:after="0" w:line="240" w:lineRule="auto"/>
    </w:pPr>
    <w:tblPr>
      <w:tblStyleRowBandSize w:val="1"/>
      <w:tblStyleColBandSize w:val="1"/>
      <w:tblBorders>
        <w:top w:val="single" w:sz="4" w:space="0" w:color="5AA3D9" w:themeColor="accent1" w:themeTint="99"/>
        <w:bottom w:val="single" w:sz="4" w:space="0" w:color="5AA3D9" w:themeColor="accent1" w:themeTint="99"/>
        <w:insideH w:val="single" w:sz="4" w:space="0" w:color="5AA3D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0F2" w:themeFill="accent1" w:themeFillTint="33"/>
      </w:tcPr>
    </w:tblStylePr>
    <w:tblStylePr w:type="band1Horz">
      <w:tblPr/>
      <w:tcPr>
        <w:shd w:val="clear" w:color="auto" w:fill="C7E0F2" w:themeFill="accent1" w:themeFillTint="33"/>
      </w:tcPr>
    </w:tblStyle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96C56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  <w:style w:type="table" w:styleId="Tablaconcuadrcula">
    <w:name w:val="Table Grid"/>
    <w:basedOn w:val="Tablanormal"/>
    <w:uiPriority w:val="39"/>
    <w:rsid w:val="004C1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621F7"/>
    <w:rPr>
      <w:color w:val="605E5C"/>
      <w:shd w:val="clear" w:color="auto" w:fill="E1DFDD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F1BFF"/>
  </w:style>
  <w:style w:type="table" w:styleId="Tablaconcuadrcula2-nfasis1">
    <w:name w:val="Grid Table 2 Accent 1"/>
    <w:basedOn w:val="Tablanormal"/>
    <w:uiPriority w:val="47"/>
    <w:rsid w:val="009001B0"/>
    <w:pPr>
      <w:spacing w:after="0" w:line="240" w:lineRule="auto"/>
    </w:pPr>
    <w:tblPr>
      <w:tblStyleRowBandSize w:val="1"/>
      <w:tblStyleColBandSize w:val="1"/>
      <w:tblBorders>
        <w:top w:val="single" w:sz="2" w:space="0" w:color="5AA3D9" w:themeColor="accent1" w:themeTint="99"/>
        <w:bottom w:val="single" w:sz="2" w:space="0" w:color="5AA3D9" w:themeColor="accent1" w:themeTint="99"/>
        <w:insideH w:val="single" w:sz="2" w:space="0" w:color="5AA3D9" w:themeColor="accent1" w:themeTint="99"/>
        <w:insideV w:val="single" w:sz="2" w:space="0" w:color="5AA3D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AA3D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AA3D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0F2" w:themeFill="accent1" w:themeFillTint="33"/>
      </w:tcPr>
    </w:tblStylePr>
    <w:tblStylePr w:type="band1Horz">
      <w:tblPr/>
      <w:tcPr>
        <w:shd w:val="clear" w:color="auto" w:fill="C7E0F2" w:themeFill="accent1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4C5DA2"/>
    <w:pPr>
      <w:spacing w:after="0" w:line="240" w:lineRule="auto"/>
    </w:pPr>
    <w:rPr>
      <w:color w:val="8D31C5" w:themeColor="accent5" w:themeShade="BF"/>
    </w:rPr>
    <w:tblPr>
      <w:tblStyleRowBandSize w:val="1"/>
      <w:tblStyleColBandSize w:val="1"/>
      <w:tblBorders>
        <w:top w:val="single" w:sz="4" w:space="0" w:color="B26EDB" w:themeColor="accent5"/>
        <w:bottom w:val="single" w:sz="4" w:space="0" w:color="B26ED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B26ED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B26ED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1F7" w:themeFill="accent5" w:themeFillTint="33"/>
      </w:tcPr>
    </w:tblStylePr>
    <w:tblStylePr w:type="band1Horz">
      <w:tblPr/>
      <w:tcPr>
        <w:shd w:val="clear" w:color="auto" w:fill="EFE1F7" w:themeFill="accent5" w:themeFillTint="33"/>
      </w:tcPr>
    </w:tblStylePr>
  </w:style>
  <w:style w:type="table" w:styleId="Tabladelista1clara-nfasis1">
    <w:name w:val="List Table 1 Light Accent 1"/>
    <w:basedOn w:val="Tablanormal"/>
    <w:uiPriority w:val="46"/>
    <w:rsid w:val="004C5DA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AA3D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AA3D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0F2" w:themeFill="accent1" w:themeFillTint="33"/>
      </w:tcPr>
    </w:tblStylePr>
    <w:tblStylePr w:type="band1Horz">
      <w:tblPr/>
      <w:tcPr>
        <w:shd w:val="clear" w:color="auto" w:fill="C7E0F2" w:themeFill="accent1" w:themeFillTint="33"/>
      </w:tcPr>
    </w:tblStylePr>
  </w:style>
  <w:style w:type="table" w:styleId="Tablaconcuadrcula4-nfasis1">
    <w:name w:val="Grid Table 4 Accent 1"/>
    <w:basedOn w:val="Tablanormal"/>
    <w:uiPriority w:val="49"/>
    <w:rsid w:val="004C5DA2"/>
    <w:pPr>
      <w:spacing w:after="0" w:line="240" w:lineRule="auto"/>
    </w:pPr>
    <w:tblPr>
      <w:tblStyleRowBandSize w:val="1"/>
      <w:tblStyleColBandSize w:val="1"/>
      <w:tblBorders>
        <w:top w:val="single" w:sz="4" w:space="0" w:color="5AA3D9" w:themeColor="accent1" w:themeTint="99"/>
        <w:left w:val="single" w:sz="4" w:space="0" w:color="5AA3D9" w:themeColor="accent1" w:themeTint="99"/>
        <w:bottom w:val="single" w:sz="4" w:space="0" w:color="5AA3D9" w:themeColor="accent1" w:themeTint="99"/>
        <w:right w:val="single" w:sz="4" w:space="0" w:color="5AA3D9" w:themeColor="accent1" w:themeTint="99"/>
        <w:insideH w:val="single" w:sz="4" w:space="0" w:color="5AA3D9" w:themeColor="accent1" w:themeTint="99"/>
        <w:insideV w:val="single" w:sz="4" w:space="0" w:color="5AA3D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05F8D" w:themeColor="accent1"/>
          <w:left w:val="single" w:sz="4" w:space="0" w:color="205F8D" w:themeColor="accent1"/>
          <w:bottom w:val="single" w:sz="4" w:space="0" w:color="205F8D" w:themeColor="accent1"/>
          <w:right w:val="single" w:sz="4" w:space="0" w:color="205F8D" w:themeColor="accent1"/>
          <w:insideH w:val="nil"/>
          <w:insideV w:val="nil"/>
        </w:tcBorders>
        <w:shd w:val="clear" w:color="auto" w:fill="205F8D" w:themeFill="accent1"/>
      </w:tcPr>
    </w:tblStylePr>
    <w:tblStylePr w:type="lastRow">
      <w:rPr>
        <w:b/>
        <w:bCs/>
      </w:rPr>
      <w:tblPr/>
      <w:tcPr>
        <w:tcBorders>
          <w:top w:val="double" w:sz="4" w:space="0" w:color="205F8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0F2" w:themeFill="accent1" w:themeFillTint="33"/>
      </w:tcPr>
    </w:tblStylePr>
    <w:tblStylePr w:type="band1Horz">
      <w:tblPr/>
      <w:tcPr>
        <w:shd w:val="clear" w:color="auto" w:fill="C7E0F2" w:themeFill="accent1" w:themeFillTint="33"/>
      </w:tcPr>
    </w:tblStylePr>
  </w:style>
  <w:style w:type="table" w:styleId="Tablaconcuadrcula1clara-nfasis5">
    <w:name w:val="Grid Table 1 Light Accent 5"/>
    <w:basedOn w:val="Tablanormal"/>
    <w:uiPriority w:val="46"/>
    <w:rsid w:val="004C5DA2"/>
    <w:pPr>
      <w:spacing w:after="0" w:line="240" w:lineRule="auto"/>
    </w:pPr>
    <w:tblPr>
      <w:tblStyleRowBandSize w:val="1"/>
      <w:tblStyleColBandSize w:val="1"/>
      <w:tblBorders>
        <w:top w:val="single" w:sz="4" w:space="0" w:color="E0C4F0" w:themeColor="accent5" w:themeTint="66"/>
        <w:left w:val="single" w:sz="4" w:space="0" w:color="E0C4F0" w:themeColor="accent5" w:themeTint="66"/>
        <w:bottom w:val="single" w:sz="4" w:space="0" w:color="E0C4F0" w:themeColor="accent5" w:themeTint="66"/>
        <w:right w:val="single" w:sz="4" w:space="0" w:color="E0C4F0" w:themeColor="accent5" w:themeTint="66"/>
        <w:insideH w:val="single" w:sz="4" w:space="0" w:color="E0C4F0" w:themeColor="accent5" w:themeTint="66"/>
        <w:insideV w:val="single" w:sz="4" w:space="0" w:color="E0C4F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0A7E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7E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3-nfasis5">
    <w:name w:val="Grid Table 3 Accent 5"/>
    <w:basedOn w:val="Tablanormal"/>
    <w:uiPriority w:val="48"/>
    <w:rsid w:val="004C5DA2"/>
    <w:pPr>
      <w:spacing w:after="0" w:line="240" w:lineRule="auto"/>
    </w:pPr>
    <w:tblPr>
      <w:tblStyleRowBandSize w:val="1"/>
      <w:tblStyleColBandSize w:val="1"/>
      <w:tblBorders>
        <w:top w:val="single" w:sz="4" w:space="0" w:color="D0A7E9" w:themeColor="accent5" w:themeTint="99"/>
        <w:left w:val="single" w:sz="4" w:space="0" w:color="D0A7E9" w:themeColor="accent5" w:themeTint="99"/>
        <w:bottom w:val="single" w:sz="4" w:space="0" w:color="D0A7E9" w:themeColor="accent5" w:themeTint="99"/>
        <w:right w:val="single" w:sz="4" w:space="0" w:color="D0A7E9" w:themeColor="accent5" w:themeTint="99"/>
        <w:insideH w:val="single" w:sz="4" w:space="0" w:color="D0A7E9" w:themeColor="accent5" w:themeTint="99"/>
        <w:insideV w:val="single" w:sz="4" w:space="0" w:color="D0A7E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1F7" w:themeFill="accent5" w:themeFillTint="33"/>
      </w:tcPr>
    </w:tblStylePr>
    <w:tblStylePr w:type="band1Horz">
      <w:tblPr/>
      <w:tcPr>
        <w:shd w:val="clear" w:color="auto" w:fill="EFE1F7" w:themeFill="accent5" w:themeFillTint="33"/>
      </w:tcPr>
    </w:tblStylePr>
    <w:tblStylePr w:type="neCell">
      <w:tblPr/>
      <w:tcPr>
        <w:tcBorders>
          <w:bottom w:val="single" w:sz="4" w:space="0" w:color="D0A7E9" w:themeColor="accent5" w:themeTint="99"/>
        </w:tcBorders>
      </w:tcPr>
    </w:tblStylePr>
    <w:tblStylePr w:type="nwCell">
      <w:tblPr/>
      <w:tcPr>
        <w:tcBorders>
          <w:bottom w:val="single" w:sz="4" w:space="0" w:color="D0A7E9" w:themeColor="accent5" w:themeTint="99"/>
        </w:tcBorders>
      </w:tcPr>
    </w:tblStylePr>
    <w:tblStylePr w:type="seCell">
      <w:tblPr/>
      <w:tcPr>
        <w:tcBorders>
          <w:top w:val="single" w:sz="4" w:space="0" w:color="D0A7E9" w:themeColor="accent5" w:themeTint="99"/>
        </w:tcBorders>
      </w:tcPr>
    </w:tblStylePr>
    <w:tblStylePr w:type="swCell">
      <w:tblPr/>
      <w:tcPr>
        <w:tcBorders>
          <w:top w:val="single" w:sz="4" w:space="0" w:color="D0A7E9" w:themeColor="accent5" w:themeTint="99"/>
        </w:tcBorders>
      </w:tcPr>
    </w:tblStylePr>
  </w:style>
  <w:style w:type="table" w:styleId="Tabladelista1clara-nfasis5">
    <w:name w:val="List Table 1 Light Accent 5"/>
    <w:basedOn w:val="Tablanormal"/>
    <w:uiPriority w:val="46"/>
    <w:rsid w:val="004C5DA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7E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7E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1F7" w:themeFill="accent5" w:themeFillTint="33"/>
      </w:tcPr>
    </w:tblStylePr>
    <w:tblStylePr w:type="band1Horz">
      <w:tblPr/>
      <w:tcPr>
        <w:shd w:val="clear" w:color="auto" w:fill="EFE1F7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4C5DA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DE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539CE" w:themeFill="accent5" w:themeFillShade="CC"/>
      </w:tcPr>
    </w:tblStylePr>
    <w:tblStylePr w:type="lastRow">
      <w:rPr>
        <w:b/>
        <w:bCs/>
        <w:color w:val="9539C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ACF6" w:themeFill="accent6" w:themeFillTint="3F"/>
      </w:tcPr>
    </w:tblStylePr>
    <w:tblStylePr w:type="band1Horz">
      <w:tblPr/>
      <w:tcPr>
        <w:shd w:val="clear" w:color="auto" w:fill="EBBCF7" w:themeFill="accent6" w:themeFillTint="33"/>
      </w:tcPr>
    </w:tblStylePr>
  </w:style>
  <w:style w:type="table" w:styleId="Tabladelista2-nfasis5">
    <w:name w:val="List Table 2 Accent 5"/>
    <w:basedOn w:val="Tablanormal"/>
    <w:uiPriority w:val="47"/>
    <w:rsid w:val="00DF45E5"/>
    <w:pPr>
      <w:spacing w:after="0" w:line="240" w:lineRule="auto"/>
    </w:pPr>
    <w:tblPr>
      <w:tblStyleRowBandSize w:val="1"/>
      <w:tblStyleColBandSize w:val="1"/>
      <w:tblBorders>
        <w:top w:val="single" w:sz="4" w:space="0" w:color="D0A7E9" w:themeColor="accent5" w:themeTint="99"/>
        <w:bottom w:val="single" w:sz="4" w:space="0" w:color="D0A7E9" w:themeColor="accent5" w:themeTint="99"/>
        <w:insideH w:val="single" w:sz="4" w:space="0" w:color="D0A7E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1F7" w:themeFill="accent5" w:themeFillTint="33"/>
      </w:tcPr>
    </w:tblStylePr>
    <w:tblStylePr w:type="band1Horz">
      <w:tblPr/>
      <w:tcPr>
        <w:shd w:val="clear" w:color="auto" w:fill="EFE1F7" w:themeFill="accent5" w:themeFillTint="33"/>
      </w:tcPr>
    </w:tblStylePr>
  </w:style>
  <w:style w:type="table" w:styleId="Tablanormal4">
    <w:name w:val="Plain Table 4"/>
    <w:basedOn w:val="Tablanormal"/>
    <w:uiPriority w:val="44"/>
    <w:rsid w:val="00B0376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2-nfasis3">
    <w:name w:val="Grid Table 2 Accent 3"/>
    <w:basedOn w:val="Tablanormal"/>
    <w:uiPriority w:val="47"/>
    <w:rsid w:val="003F6ADB"/>
    <w:pPr>
      <w:spacing w:after="0" w:line="240" w:lineRule="auto"/>
    </w:pPr>
    <w:tblPr>
      <w:tblStyleRowBandSize w:val="1"/>
      <w:tblStyleColBandSize w:val="1"/>
      <w:tblBorders>
        <w:top w:val="single" w:sz="2" w:space="0" w:color="1FFFEE" w:themeColor="accent3" w:themeTint="99"/>
        <w:bottom w:val="single" w:sz="2" w:space="0" w:color="1FFFEE" w:themeColor="accent3" w:themeTint="99"/>
        <w:insideH w:val="single" w:sz="2" w:space="0" w:color="1FFFEE" w:themeColor="accent3" w:themeTint="99"/>
        <w:insideV w:val="single" w:sz="2" w:space="0" w:color="1FFFE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1FFFE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1FFFE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FFF9" w:themeFill="accent3" w:themeFillTint="33"/>
      </w:tcPr>
    </w:tblStylePr>
    <w:tblStylePr w:type="band1Horz">
      <w:tblPr/>
      <w:tcPr>
        <w:shd w:val="clear" w:color="auto" w:fill="B4FFF9" w:themeFill="accent3" w:themeFillTint="33"/>
      </w:tcPr>
    </w:tblStylePr>
  </w:style>
  <w:style w:type="table" w:styleId="Tabladelista2-nfasis6">
    <w:name w:val="List Table 2 Accent 6"/>
    <w:basedOn w:val="Tablanormal"/>
    <w:uiPriority w:val="47"/>
    <w:rsid w:val="004403D9"/>
    <w:pPr>
      <w:spacing w:after="0" w:line="240" w:lineRule="auto"/>
    </w:pPr>
    <w:tblPr>
      <w:tblStyleRowBandSize w:val="1"/>
      <w:tblStyleColBandSize w:val="1"/>
      <w:tblBorders>
        <w:top w:val="single" w:sz="4" w:space="0" w:color="C337E9" w:themeColor="accent6" w:themeTint="99"/>
        <w:bottom w:val="single" w:sz="4" w:space="0" w:color="C337E9" w:themeColor="accent6" w:themeTint="99"/>
        <w:insideH w:val="single" w:sz="4" w:space="0" w:color="C337E9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BCF7" w:themeFill="accent6" w:themeFillTint="33"/>
      </w:tcPr>
    </w:tblStylePr>
    <w:tblStylePr w:type="band1Horz">
      <w:tblPr/>
      <w:tcPr>
        <w:shd w:val="clear" w:color="auto" w:fill="EBBCF7" w:themeFill="accent6" w:themeFillTint="33"/>
      </w:tcPr>
    </w:tblStylePr>
  </w:style>
  <w:style w:type="paragraph" w:styleId="Revisin">
    <w:name w:val="Revision"/>
    <w:hidden/>
    <w:uiPriority w:val="99"/>
    <w:semiHidden/>
    <w:rsid w:val="00A041E4"/>
    <w:pPr>
      <w:spacing w:after="0" w:line="240" w:lineRule="auto"/>
    </w:pPr>
    <w:rPr>
      <w:rFonts w:ascii="Calibri" w:hAnsi="Calibri" w:cs="Times New Roman"/>
    </w:rPr>
  </w:style>
  <w:style w:type="character" w:styleId="Mencinsinresolver">
    <w:name w:val="Unresolved Mention"/>
    <w:basedOn w:val="Fuentedeprrafopredeter"/>
    <w:uiPriority w:val="99"/>
    <w:semiHidden/>
    <w:unhideWhenUsed/>
    <w:rsid w:val="006C4F76"/>
    <w:rPr>
      <w:color w:val="605E5C"/>
      <w:shd w:val="clear" w:color="auto" w:fill="E1DFDD"/>
    </w:rPr>
  </w:style>
  <w:style w:type="paragraph" w:styleId="Ttulo">
    <w:name w:val="Title"/>
    <w:basedOn w:val="Normal"/>
    <w:link w:val="TtuloCar"/>
    <w:qFormat/>
    <w:rsid w:val="000D16B6"/>
    <w:pPr>
      <w:tabs>
        <w:tab w:val="left" w:pos="4699"/>
      </w:tabs>
      <w:ind w:left="142"/>
      <w:jc w:val="center"/>
    </w:pPr>
    <w:rPr>
      <w:rFonts w:ascii="Arial" w:hAnsi="Arial" w:cs="Arial"/>
      <w:b/>
      <w:bCs/>
      <w:smallCaps/>
      <w:sz w:val="32"/>
      <w:szCs w:val="32"/>
    </w:rPr>
  </w:style>
  <w:style w:type="character" w:customStyle="1" w:styleId="TtuloCar">
    <w:name w:val="Título Car"/>
    <w:basedOn w:val="Fuentedeprrafopredeter"/>
    <w:link w:val="Ttulo"/>
    <w:rsid w:val="000D16B6"/>
    <w:rPr>
      <w:rFonts w:ascii="Arial" w:hAnsi="Arial" w:cs="Arial"/>
      <w:b/>
      <w:bCs/>
      <w:smallCaps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A5CB2"/>
    <w:rPr>
      <w:rFonts w:ascii="Arial" w:eastAsiaTheme="majorEastAsia" w:hAnsi="Arial" w:cstheme="majorBidi"/>
      <w:b/>
      <w:bCs/>
      <w:kern w:val="2"/>
      <w:sz w:val="24"/>
      <w:szCs w:val="21"/>
      <w14:ligatures w14:val="standardContextual"/>
    </w:rPr>
  </w:style>
  <w:style w:type="character" w:customStyle="1" w:styleId="Ttulo4Car">
    <w:name w:val="Título 4 Car"/>
    <w:basedOn w:val="Fuentedeprrafopredeter"/>
    <w:link w:val="Ttulo4"/>
    <w:uiPriority w:val="9"/>
    <w:rsid w:val="00FA5CB2"/>
    <w:rPr>
      <w:rFonts w:ascii="Arial" w:eastAsiaTheme="majorEastAsia" w:hAnsi="Arial" w:cstheme="majorBidi"/>
      <w:b/>
      <w:bCs/>
      <w:iCs/>
      <w:kern w:val="2"/>
      <w:szCs w:val="21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9"/>
    <w:rsid w:val="00FA5CB2"/>
    <w:rPr>
      <w:rFonts w:asciiTheme="majorHAnsi" w:eastAsiaTheme="majorEastAsia" w:hAnsiTheme="majorHAnsi" w:cstheme="majorBidi"/>
      <w:kern w:val="2"/>
      <w:szCs w:val="21"/>
      <w14:ligatures w14:val="standardContextual"/>
    </w:rPr>
  </w:style>
  <w:style w:type="character" w:customStyle="1" w:styleId="Ttulo6Car">
    <w:name w:val="Título 6 Car"/>
    <w:basedOn w:val="Fuentedeprrafopredeter"/>
    <w:link w:val="Ttulo6"/>
    <w:uiPriority w:val="9"/>
    <w:rsid w:val="00FA5CB2"/>
    <w:rPr>
      <w:rFonts w:ascii="Arial" w:eastAsiaTheme="majorEastAsia" w:hAnsi="Arial" w:cstheme="majorBidi"/>
      <w:i/>
      <w:iCs/>
      <w:kern w:val="2"/>
      <w:szCs w:val="21"/>
      <w14:ligatures w14:val="standardContextual"/>
    </w:rPr>
  </w:style>
  <w:style w:type="character" w:customStyle="1" w:styleId="Ttulo7Car">
    <w:name w:val="Título 7 Car"/>
    <w:basedOn w:val="Fuentedeprrafopredeter"/>
    <w:link w:val="Ttulo7"/>
    <w:uiPriority w:val="9"/>
    <w:rsid w:val="00FA5CB2"/>
    <w:rPr>
      <w:rFonts w:ascii="Arial" w:eastAsiaTheme="majorEastAsia" w:hAnsi="Arial" w:cstheme="majorBidi"/>
      <w:i/>
      <w:iCs/>
      <w:color w:val="404040" w:themeColor="text1" w:themeTint="BF"/>
      <w:kern w:val="2"/>
      <w:szCs w:val="21"/>
      <w14:ligatures w14:val="standardContextual"/>
    </w:rPr>
  </w:style>
  <w:style w:type="character" w:customStyle="1" w:styleId="Ttulo8Car">
    <w:name w:val="Título 8 Car"/>
    <w:basedOn w:val="Fuentedeprrafopredeter"/>
    <w:link w:val="Ttulo8"/>
    <w:uiPriority w:val="9"/>
    <w:rsid w:val="00FA5CB2"/>
    <w:rPr>
      <w:rFonts w:ascii="Arial" w:eastAsiaTheme="majorEastAsia" w:hAnsi="Arial" w:cstheme="majorBidi"/>
      <w:color w:val="404040" w:themeColor="text1" w:themeTint="BF"/>
      <w:kern w:val="2"/>
      <w:szCs w:val="21"/>
      <w14:ligatures w14:val="standardContextual"/>
    </w:rPr>
  </w:style>
  <w:style w:type="character" w:customStyle="1" w:styleId="Ttulo9Car">
    <w:name w:val="Título 9 Car"/>
    <w:basedOn w:val="Fuentedeprrafopredeter"/>
    <w:link w:val="Ttulo9"/>
    <w:uiPriority w:val="9"/>
    <w:rsid w:val="00FA5CB2"/>
    <w:rPr>
      <w:rFonts w:ascii="Arial" w:eastAsiaTheme="majorEastAsia" w:hAnsi="Arial" w:cstheme="majorBidi"/>
      <w:i/>
      <w:iCs/>
      <w:color w:val="404040" w:themeColor="text1" w:themeTint="BF"/>
      <w:kern w:val="2"/>
      <w:szCs w:val="21"/>
      <w14:ligatures w14:val="standardContextual"/>
    </w:rPr>
  </w:style>
  <w:style w:type="paragraph" w:customStyle="1" w:styleId="TableParagraph">
    <w:name w:val="Table Paragraph"/>
    <w:basedOn w:val="Normal"/>
    <w:uiPriority w:val="1"/>
    <w:qFormat/>
    <w:rsid w:val="00FA5CB2"/>
    <w:pPr>
      <w:widowControl w:val="0"/>
      <w:autoSpaceDE w:val="0"/>
      <w:autoSpaceDN w:val="0"/>
      <w:adjustRightInd w:val="0"/>
      <w:spacing w:after="120"/>
      <w:jc w:val="both"/>
    </w:pPr>
    <w:rPr>
      <w:rFonts w:ascii="Times New Roman" w:eastAsiaTheme="minorEastAsia" w:hAnsi="Times New Roman"/>
      <w:kern w:val="2"/>
      <w:sz w:val="24"/>
      <w:szCs w:val="21"/>
      <w:lang w:eastAsia="es-MX"/>
      <w14:ligatures w14:val="standardContextual"/>
    </w:rPr>
  </w:style>
  <w:style w:type="character" w:styleId="Hipervnculovisitado">
    <w:name w:val="FollowedHyperlink"/>
    <w:basedOn w:val="Fuentedeprrafopredeter"/>
    <w:uiPriority w:val="99"/>
    <w:semiHidden/>
    <w:unhideWhenUsed/>
    <w:rsid w:val="00FA5CB2"/>
    <w:rPr>
      <w:color w:val="0074C5" w:themeColor="followedHyperlink"/>
      <w:u w:val="single"/>
    </w:rPr>
  </w:style>
  <w:style w:type="table" w:styleId="Tablaconcuadrcula1clara-nfasis1">
    <w:name w:val="Grid Table 1 Light Accent 1"/>
    <w:basedOn w:val="Tablanormal"/>
    <w:uiPriority w:val="46"/>
    <w:rsid w:val="00FA5CB2"/>
    <w:pPr>
      <w:spacing w:after="0" w:line="240" w:lineRule="auto"/>
      <w:jc w:val="both"/>
    </w:pPr>
    <w:rPr>
      <w:rFonts w:ascii="Arial" w:hAnsi="Arial"/>
      <w:kern w:val="2"/>
      <w:sz w:val="20"/>
      <w:szCs w:val="20"/>
      <w14:ligatures w14:val="standardContextual"/>
      <w14:cntxtAlts/>
    </w:rPr>
    <w:tblPr>
      <w:tblStyleRowBandSize w:val="1"/>
      <w:tblStyleColBandSize w:val="1"/>
      <w:tblBorders>
        <w:top w:val="single" w:sz="4" w:space="0" w:color="91C2E6" w:themeColor="accent1" w:themeTint="66"/>
        <w:left w:val="single" w:sz="4" w:space="0" w:color="91C2E6" w:themeColor="accent1" w:themeTint="66"/>
        <w:bottom w:val="single" w:sz="4" w:space="0" w:color="91C2E6" w:themeColor="accent1" w:themeTint="66"/>
        <w:right w:val="single" w:sz="4" w:space="0" w:color="91C2E6" w:themeColor="accent1" w:themeTint="66"/>
        <w:insideH w:val="single" w:sz="4" w:space="0" w:color="91C2E6" w:themeColor="accent1" w:themeTint="66"/>
        <w:insideV w:val="single" w:sz="4" w:space="0" w:color="91C2E6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AA3D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AA3D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FA5CB2"/>
    <w:pPr>
      <w:spacing w:after="0" w:line="240" w:lineRule="auto"/>
      <w:jc w:val="both"/>
    </w:pPr>
    <w:rPr>
      <w:rFonts w:ascii="Arial" w:hAnsi="Arial"/>
      <w:kern w:val="2"/>
      <w:sz w:val="20"/>
      <w:szCs w:val="20"/>
      <w14:ligatures w14:val="standardContextual"/>
      <w14:cntxtAlts/>
    </w:rPr>
    <w:tblPr>
      <w:tblStyleRowBandSize w:val="1"/>
      <w:tblStyleColBandSize w:val="1"/>
      <w:tblBorders>
        <w:top w:val="single" w:sz="4" w:space="0" w:color="59FFEB" w:themeColor="accent4" w:themeTint="66"/>
        <w:left w:val="single" w:sz="4" w:space="0" w:color="59FFEB" w:themeColor="accent4" w:themeTint="66"/>
        <w:bottom w:val="single" w:sz="4" w:space="0" w:color="59FFEB" w:themeColor="accent4" w:themeTint="66"/>
        <w:right w:val="single" w:sz="4" w:space="0" w:color="59FFEB" w:themeColor="accent4" w:themeTint="66"/>
        <w:insideH w:val="single" w:sz="4" w:space="0" w:color="59FFEB" w:themeColor="accent4" w:themeTint="66"/>
        <w:insideV w:val="single" w:sz="4" w:space="0" w:color="59FFE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06FFE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6FFE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FA5CB2"/>
    <w:pPr>
      <w:widowControl w:val="0"/>
      <w:autoSpaceDE w:val="0"/>
      <w:autoSpaceDN w:val="0"/>
      <w:adjustRightInd w:val="0"/>
      <w:ind w:left="102"/>
    </w:pPr>
    <w:rPr>
      <w:rFonts w:ascii="Arial" w:eastAsia="Times New Roman" w:hAnsi="Arial" w:cs="Arial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A5CB2"/>
    <w:rPr>
      <w:rFonts w:ascii="Arial" w:eastAsia="Times New Roman" w:hAnsi="Arial" w:cs="Arial"/>
      <w:lang w:eastAsia="es-MX"/>
    </w:rPr>
  </w:style>
  <w:style w:type="character" w:customStyle="1" w:styleId="cf01">
    <w:name w:val="cf01"/>
    <w:rsid w:val="00FA5CB2"/>
    <w:rPr>
      <w:rFonts w:ascii="Segoe UI" w:hAnsi="Segoe UI" w:cs="Segoe UI"/>
      <w:sz w:val="18"/>
      <w:szCs w:val="18"/>
    </w:rPr>
  </w:style>
  <w:style w:type="paragraph" w:customStyle="1" w:styleId="Ttulo21">
    <w:name w:val="Título 21"/>
    <w:basedOn w:val="Normal"/>
    <w:next w:val="Normal"/>
    <w:uiPriority w:val="9"/>
    <w:semiHidden/>
    <w:unhideWhenUsed/>
    <w:qFormat/>
    <w:rsid w:val="00FA5CB2"/>
    <w:pPr>
      <w:keepNext/>
      <w:keepLines/>
      <w:spacing w:before="40"/>
      <w:outlineLvl w:val="1"/>
    </w:pPr>
    <w:rPr>
      <w:rFonts w:ascii="Calibri Light" w:eastAsia="Times New Roman" w:hAnsi="Calibri Light"/>
      <w:color w:val="276E8B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FA5CB2"/>
  </w:style>
  <w:style w:type="paragraph" w:customStyle="1" w:styleId="Sinespaciado1">
    <w:name w:val="Sin espaciado1"/>
    <w:next w:val="Sinespaciado"/>
    <w:uiPriority w:val="1"/>
    <w:qFormat/>
    <w:rsid w:val="00FA5CB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deglobo1">
    <w:name w:val="Texto de globo1"/>
    <w:basedOn w:val="Normal"/>
    <w:next w:val="Textodeglobo"/>
    <w:uiPriority w:val="99"/>
    <w:semiHidden/>
    <w:unhideWhenUsed/>
    <w:rsid w:val="00FA5CB2"/>
    <w:rPr>
      <w:rFonts w:ascii="Segoe UI" w:eastAsia="Times New Roman" w:hAnsi="Segoe UI" w:cs="Segoe UI"/>
      <w:sz w:val="18"/>
      <w:szCs w:val="18"/>
      <w:lang w:eastAsia="es-MX"/>
    </w:rPr>
  </w:style>
  <w:style w:type="paragraph" w:customStyle="1" w:styleId="Textonotaalfinal1">
    <w:name w:val="Texto nota al final1"/>
    <w:basedOn w:val="Normal"/>
    <w:next w:val="Textonotaalfinal"/>
    <w:uiPriority w:val="99"/>
    <w:semiHidden/>
    <w:unhideWhenUsed/>
    <w:rsid w:val="00FA5CB2"/>
    <w:rPr>
      <w:rFonts w:eastAsia="Times New Roman"/>
      <w:sz w:val="20"/>
      <w:szCs w:val="20"/>
      <w:lang w:eastAsia="es-MX"/>
    </w:rPr>
  </w:style>
  <w:style w:type="table" w:customStyle="1" w:styleId="Tabladelista2-nfasis11">
    <w:name w:val="Tabla de lista 2 - Énfasis 11"/>
    <w:basedOn w:val="Tablanormal"/>
    <w:next w:val="Tabladelista2-nfasis1"/>
    <w:uiPriority w:val="47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C0DB"/>
        <w:bottom w:val="single" w:sz="4" w:space="0" w:color="7FC0DB"/>
        <w:insideH w:val="single" w:sz="4" w:space="0" w:color="7FC0D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/>
      </w:tcPr>
    </w:tblStylePr>
    <w:tblStylePr w:type="band1Horz">
      <w:tblPr/>
      <w:tcPr>
        <w:shd w:val="clear" w:color="auto" w:fill="D4EAF3"/>
      </w:tcPr>
    </w:tblStylePr>
  </w:style>
  <w:style w:type="table" w:customStyle="1" w:styleId="Tablaconcuadrcula1">
    <w:name w:val="Tabla con cuadrícula1"/>
    <w:basedOn w:val="Tablanormal"/>
    <w:next w:val="Tablaconcuadrcula"/>
    <w:uiPriority w:val="39"/>
    <w:rsid w:val="00FA5CB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-nfasis11">
    <w:name w:val="Tabla con cuadrícula 2 - Énfasis 11"/>
    <w:basedOn w:val="Tablanormal"/>
    <w:next w:val="Tablaconcuadrcula2-nfasis1"/>
    <w:uiPriority w:val="47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7FC0DB"/>
        <w:bottom w:val="single" w:sz="2" w:space="0" w:color="7FC0DB"/>
        <w:insideH w:val="single" w:sz="2" w:space="0" w:color="7FC0DB"/>
        <w:insideV w:val="single" w:sz="2" w:space="0" w:color="7FC0D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FC0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7FC0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/>
      </w:tcPr>
    </w:tblStylePr>
    <w:tblStylePr w:type="band1Horz">
      <w:tblPr/>
      <w:tcPr>
        <w:shd w:val="clear" w:color="auto" w:fill="D4EAF3"/>
      </w:tcPr>
    </w:tblStylePr>
  </w:style>
  <w:style w:type="table" w:customStyle="1" w:styleId="Tabladelista6concolores-nfasis51">
    <w:name w:val="Tabla de lista 6 con colores - Énfasis 51"/>
    <w:basedOn w:val="Tablanormal"/>
    <w:next w:val="Tabladelista6concolores-nfasis5"/>
    <w:uiPriority w:val="51"/>
    <w:rsid w:val="00FA5CB2"/>
    <w:pPr>
      <w:spacing w:after="0" w:line="240" w:lineRule="auto"/>
    </w:pPr>
    <w:rPr>
      <w:rFonts w:ascii="Calibri" w:eastAsia="Calibri" w:hAnsi="Calibri" w:cs="Times New Roman"/>
      <w:color w:val="578793"/>
    </w:rPr>
    <w:tblPr>
      <w:tblStyleRowBandSize w:val="1"/>
      <w:tblStyleColBandSize w:val="1"/>
      <w:tblBorders>
        <w:top w:val="single" w:sz="4" w:space="0" w:color="84ACB6"/>
        <w:bottom w:val="single" w:sz="4" w:space="0" w:color="84ACB6"/>
      </w:tblBorders>
    </w:tblPr>
    <w:tblStylePr w:type="firstRow">
      <w:rPr>
        <w:b/>
        <w:bCs/>
      </w:rPr>
      <w:tblPr/>
      <w:tcPr>
        <w:tcBorders>
          <w:bottom w:val="single" w:sz="4" w:space="0" w:color="84ACB6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/>
      </w:tcPr>
    </w:tblStylePr>
    <w:tblStylePr w:type="band1Horz">
      <w:tblPr/>
      <w:tcPr>
        <w:shd w:val="clear" w:color="auto" w:fill="E6EEF0"/>
      </w:tcPr>
    </w:tblStylePr>
  </w:style>
  <w:style w:type="table" w:customStyle="1" w:styleId="Tabladelista1clara-nfasis11">
    <w:name w:val="Tabla de lista 1 clara - Énfasis 11"/>
    <w:basedOn w:val="Tablanormal"/>
    <w:next w:val="Tabladelista1clara-nfasis1"/>
    <w:uiPriority w:val="46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FC0DB"/>
        </w:tcBorders>
      </w:tcPr>
    </w:tblStylePr>
    <w:tblStylePr w:type="lastRow">
      <w:rPr>
        <w:b/>
        <w:bCs/>
      </w:rPr>
      <w:tblPr/>
      <w:tcPr>
        <w:tcBorders>
          <w:top w:val="single" w:sz="4" w:space="0" w:color="7FC0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/>
      </w:tcPr>
    </w:tblStylePr>
    <w:tblStylePr w:type="band1Horz">
      <w:tblPr/>
      <w:tcPr>
        <w:shd w:val="clear" w:color="auto" w:fill="D4EAF3"/>
      </w:tcPr>
    </w:tblStylePr>
  </w:style>
  <w:style w:type="table" w:customStyle="1" w:styleId="Tablaconcuadrcula4-nfasis11">
    <w:name w:val="Tabla con cuadrícula 4 - Énfasis 11"/>
    <w:basedOn w:val="Tablanormal"/>
    <w:next w:val="Tablaconcuadrcula4-nfasis1"/>
    <w:uiPriority w:val="49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C0DB"/>
        <w:left w:val="single" w:sz="4" w:space="0" w:color="7FC0DB"/>
        <w:bottom w:val="single" w:sz="4" w:space="0" w:color="7FC0DB"/>
        <w:right w:val="single" w:sz="4" w:space="0" w:color="7FC0DB"/>
        <w:insideH w:val="single" w:sz="4" w:space="0" w:color="7FC0DB"/>
        <w:insideV w:val="single" w:sz="4" w:space="0" w:color="7FC0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3494BA"/>
          <w:left w:val="single" w:sz="4" w:space="0" w:color="3494BA"/>
          <w:bottom w:val="single" w:sz="4" w:space="0" w:color="3494BA"/>
          <w:right w:val="single" w:sz="4" w:space="0" w:color="3494BA"/>
          <w:insideH w:val="nil"/>
          <w:insideV w:val="nil"/>
        </w:tcBorders>
        <w:shd w:val="clear" w:color="auto" w:fill="3494BA"/>
      </w:tcPr>
    </w:tblStylePr>
    <w:tblStylePr w:type="lastRow">
      <w:rPr>
        <w:b/>
        <w:bCs/>
      </w:rPr>
      <w:tblPr/>
      <w:tcPr>
        <w:tcBorders>
          <w:top w:val="double" w:sz="4" w:space="0" w:color="3494BA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/>
      </w:tcPr>
    </w:tblStylePr>
    <w:tblStylePr w:type="band1Horz">
      <w:tblPr/>
      <w:tcPr>
        <w:shd w:val="clear" w:color="auto" w:fill="D4EAF3"/>
      </w:tcPr>
    </w:tblStylePr>
  </w:style>
  <w:style w:type="table" w:customStyle="1" w:styleId="Tablaconcuadrcula1clara-nfasis51">
    <w:name w:val="Tabla con cuadrícula 1 clara - Énfasis 51"/>
    <w:basedOn w:val="Tablanormal"/>
    <w:next w:val="Tablaconcuadrcula1clara-nfasis5"/>
    <w:uiPriority w:val="46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DDDE1"/>
        <w:left w:val="single" w:sz="4" w:space="0" w:color="CDDDE1"/>
        <w:bottom w:val="single" w:sz="4" w:space="0" w:color="CDDDE1"/>
        <w:right w:val="single" w:sz="4" w:space="0" w:color="CDDDE1"/>
        <w:insideH w:val="single" w:sz="4" w:space="0" w:color="CDDDE1"/>
        <w:insideV w:val="single" w:sz="4" w:space="0" w:color="CDDDE1"/>
      </w:tblBorders>
    </w:tblPr>
    <w:tblStylePr w:type="firstRow">
      <w:rPr>
        <w:b/>
        <w:bCs/>
      </w:rPr>
      <w:tblPr/>
      <w:tcPr>
        <w:tcBorders>
          <w:bottom w:val="single" w:sz="12" w:space="0" w:color="B5CDD3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3-nfasis51">
    <w:name w:val="Tabla con cuadrícula 3 - Énfasis 51"/>
    <w:basedOn w:val="Tablanormal"/>
    <w:next w:val="Tablaconcuadrcula3-nfasis5"/>
    <w:uiPriority w:val="48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5CDD3"/>
        <w:left w:val="single" w:sz="4" w:space="0" w:color="B5CDD3"/>
        <w:bottom w:val="single" w:sz="4" w:space="0" w:color="B5CDD3"/>
        <w:right w:val="single" w:sz="4" w:space="0" w:color="B5CDD3"/>
        <w:insideH w:val="single" w:sz="4" w:space="0" w:color="B5CDD3"/>
        <w:insideV w:val="single" w:sz="4" w:space="0" w:color="B5CDD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6EEF0"/>
      </w:tcPr>
    </w:tblStylePr>
    <w:tblStylePr w:type="band1Horz">
      <w:tblPr/>
      <w:tcPr>
        <w:shd w:val="clear" w:color="auto" w:fill="E6EEF0"/>
      </w:tcPr>
    </w:tblStylePr>
    <w:tblStylePr w:type="neCell">
      <w:tblPr/>
      <w:tcPr>
        <w:tcBorders>
          <w:bottom w:val="single" w:sz="4" w:space="0" w:color="B5CDD3"/>
        </w:tcBorders>
      </w:tcPr>
    </w:tblStylePr>
    <w:tblStylePr w:type="nwCell">
      <w:tblPr/>
      <w:tcPr>
        <w:tcBorders>
          <w:bottom w:val="single" w:sz="4" w:space="0" w:color="B5CDD3"/>
        </w:tcBorders>
      </w:tcPr>
    </w:tblStylePr>
    <w:tblStylePr w:type="seCell">
      <w:tblPr/>
      <w:tcPr>
        <w:tcBorders>
          <w:top w:val="single" w:sz="4" w:space="0" w:color="B5CDD3"/>
        </w:tcBorders>
      </w:tcPr>
    </w:tblStylePr>
    <w:tblStylePr w:type="swCell">
      <w:tblPr/>
      <w:tcPr>
        <w:tcBorders>
          <w:top w:val="single" w:sz="4" w:space="0" w:color="B5CDD3"/>
        </w:tcBorders>
      </w:tcPr>
    </w:tblStylePr>
  </w:style>
  <w:style w:type="table" w:customStyle="1" w:styleId="Tabladelista1clara-nfasis51">
    <w:name w:val="Tabla de lista 1 clara - Énfasis 51"/>
    <w:basedOn w:val="Tablanormal"/>
    <w:next w:val="Tabladelista1clara-nfasis5"/>
    <w:uiPriority w:val="46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CDD3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/>
      </w:tcPr>
    </w:tblStylePr>
    <w:tblStylePr w:type="band1Horz">
      <w:tblPr/>
      <w:tcPr>
        <w:shd w:val="clear" w:color="auto" w:fill="E6EEF0"/>
      </w:tcPr>
    </w:tblStylePr>
  </w:style>
  <w:style w:type="table" w:customStyle="1" w:styleId="Listavistosa-nfasis61">
    <w:name w:val="Lista vistosa - Énfasis 61"/>
    <w:basedOn w:val="Tablanormal"/>
    <w:next w:val="Listavistosa-nfasis6"/>
    <w:uiPriority w:val="72"/>
    <w:rsid w:val="00FA5CB2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cPr>
      <w:shd w:val="clear" w:color="auto" w:fill="E8F2FA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5D909D"/>
      </w:tcPr>
    </w:tblStylePr>
    <w:tblStylePr w:type="lastRow">
      <w:rPr>
        <w:b/>
        <w:bCs/>
        <w:color w:val="5D909D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0F4"/>
      </w:tcPr>
    </w:tblStylePr>
    <w:tblStylePr w:type="band1Horz">
      <w:tblPr/>
      <w:tcPr>
        <w:shd w:val="clear" w:color="auto" w:fill="D0E6F6"/>
      </w:tcPr>
    </w:tblStylePr>
  </w:style>
  <w:style w:type="table" w:customStyle="1" w:styleId="Tabladelista2-nfasis51">
    <w:name w:val="Tabla de lista 2 - Énfasis 51"/>
    <w:basedOn w:val="Tablanormal"/>
    <w:next w:val="Tabladelista2-nfasis5"/>
    <w:uiPriority w:val="47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5CDD3"/>
        <w:bottom w:val="single" w:sz="4" w:space="0" w:color="B5CDD3"/>
        <w:insideH w:val="single" w:sz="4" w:space="0" w:color="B5CDD3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/>
      </w:tcPr>
    </w:tblStylePr>
    <w:tblStylePr w:type="band1Horz">
      <w:tblPr/>
      <w:tcPr>
        <w:shd w:val="clear" w:color="auto" w:fill="E6EEF0"/>
      </w:tcPr>
    </w:tblStylePr>
  </w:style>
  <w:style w:type="table" w:customStyle="1" w:styleId="Tablanormal41">
    <w:name w:val="Tabla normal 41"/>
    <w:basedOn w:val="Tablanormal"/>
    <w:next w:val="Tablanormal4"/>
    <w:uiPriority w:val="44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laconcuadrcula2-nfasis31">
    <w:name w:val="Tabla con cuadrícula 2 - Énfasis 31"/>
    <w:basedOn w:val="Tablanormal"/>
    <w:next w:val="Tablaconcuadrcula2-nfasis3"/>
    <w:uiPriority w:val="47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ACD7CA"/>
        <w:bottom w:val="single" w:sz="2" w:space="0" w:color="ACD7CA"/>
        <w:insideH w:val="single" w:sz="2" w:space="0" w:color="ACD7CA"/>
        <w:insideV w:val="single" w:sz="2" w:space="0" w:color="ACD7C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CD7C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CD7C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/>
      </w:tcPr>
    </w:tblStylePr>
    <w:tblStylePr w:type="band1Horz">
      <w:tblPr/>
      <w:tcPr>
        <w:shd w:val="clear" w:color="auto" w:fill="E3F1ED"/>
      </w:tcPr>
    </w:tblStylePr>
  </w:style>
  <w:style w:type="table" w:customStyle="1" w:styleId="Tabladelista2-nfasis61">
    <w:name w:val="Tabla de lista 2 - Énfasis 61"/>
    <w:basedOn w:val="Tablanormal"/>
    <w:next w:val="Tabladelista2-nfasis6"/>
    <w:uiPriority w:val="47"/>
    <w:rsid w:val="00FA5CB2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4B5E4"/>
        <w:bottom w:val="single" w:sz="4" w:space="0" w:color="74B5E4"/>
        <w:insideH w:val="single" w:sz="4" w:space="0" w:color="74B5E4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/>
      </w:tcPr>
    </w:tblStylePr>
    <w:tblStylePr w:type="band1Horz">
      <w:tblPr/>
      <w:tcPr>
        <w:shd w:val="clear" w:color="auto" w:fill="D0E6F6"/>
      </w:tcPr>
    </w:tblStylePr>
  </w:style>
  <w:style w:type="paragraph" w:customStyle="1" w:styleId="Revisin1">
    <w:name w:val="Revisión1"/>
    <w:next w:val="Revisin"/>
    <w:hidden/>
    <w:uiPriority w:val="99"/>
    <w:semiHidden/>
    <w:rsid w:val="00FA5CB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tulo2Car1">
    <w:name w:val="Título 2 Car1"/>
    <w:uiPriority w:val="9"/>
    <w:semiHidden/>
    <w:rsid w:val="00FA5CB2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extodegloboCar1">
    <w:name w:val="Texto de globo Car1"/>
    <w:basedOn w:val="Fuentedeprrafopredeter"/>
    <w:uiPriority w:val="99"/>
    <w:semiHidden/>
    <w:rsid w:val="00FA5CB2"/>
    <w:rPr>
      <w:rFonts w:ascii="Segoe UI" w:hAnsi="Segoe UI" w:cs="Segoe UI"/>
      <w:sz w:val="18"/>
      <w:szCs w:val="18"/>
    </w:rPr>
  </w:style>
  <w:style w:type="character" w:customStyle="1" w:styleId="TextonotaalfinalCar1">
    <w:name w:val="Texto nota al final Car1"/>
    <w:basedOn w:val="Fuentedeprrafopredeter"/>
    <w:uiPriority w:val="99"/>
    <w:semiHidden/>
    <w:rsid w:val="00FA5CB2"/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Nmerodepgina">
    <w:name w:val="page number"/>
    <w:basedOn w:val="Fuentedeprrafopredeter"/>
    <w:uiPriority w:val="99"/>
    <w:semiHidden/>
    <w:unhideWhenUsed/>
    <w:rsid w:val="00FA5CB2"/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EF7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331435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09060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6386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4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1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314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83014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49359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8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0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1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73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45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19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56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32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5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10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28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21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36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2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7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yperlink" Target="https://www.inegi.org.mx/contenidos/saladeprensa/boletines/2025/cultura/CSCM2024_RR.pdf" TargetMode="External"/><Relationship Id="rId18" Type="http://schemas.openxmlformats.org/officeDocument/2006/relationships/hyperlink" Target="https://twitter.com/INEGI_INFORMA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4.png"/><Relationship Id="rId7" Type="http://schemas.openxmlformats.org/officeDocument/2006/relationships/endnotes" Target="endnotes.xml"/><Relationship Id="rId12" Type="http://schemas.openxmlformats.org/officeDocument/2006/relationships/hyperlink" Target="mailto:comunicacionsocial@inegi.org.mx" TargetMode="External"/><Relationship Id="rId17" Type="http://schemas.openxmlformats.org/officeDocument/2006/relationships/image" Target="media/image2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instagram.com/inegi_informa/" TargetMode="External"/><Relationship Id="rId20" Type="http://schemas.openxmlformats.org/officeDocument/2006/relationships/hyperlink" Target="https://www.youtube.com/user/INEGIInform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negi.org.mx/programas/cultura/2018/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10" Type="http://schemas.openxmlformats.org/officeDocument/2006/relationships/hyperlink" Target="https://www.inegi.org.mx/temas/cultura/" TargetMode="External"/><Relationship Id="rId19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yperlink" Target="https://www.facebook.com/INEGIInforma/" TargetMode="External"/><Relationship Id="rId22" Type="http://schemas.openxmlformats.org/officeDocument/2006/relationships/hyperlink" Target="http://www.inegi.org.mx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\Mis%20documentos\Subdirecci&#243;n%20CSCM\Monograf&#237;a_08_24\NotaBolPrensa\Gr&#225;ficas_Bolet&#237;n_PPT_2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\Mis%20documentos\Subdirecci&#243;n%20CSCM\Monograf&#237;a_08_24\NotaBolPrensa\Gr&#225;ficas_Bolet&#237;n_PPT_24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7807514752145377E-3"/>
          <c:y val="1.7192529902417403E-2"/>
          <c:w val="0.99321924852478527"/>
          <c:h val="0.96597772346201904"/>
        </c:manualLayout>
      </c:layout>
      <c:lineChart>
        <c:grouping val="standard"/>
        <c:varyColors val="0"/>
        <c:ser>
          <c:idx val="1"/>
          <c:order val="0"/>
          <c:tx>
            <c:strRef>
              <c:f>Gr3v2!$F$1</c:f>
              <c:strCache>
                <c:ptCount val="1"/>
                <c:pt idx="0">
                  <c:v>Sector de la cultura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4.7404105036768569E-2"/>
                  <c:y val="4.033963892376086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492-4751-92CD-A43269610FD1}"/>
                </c:ext>
              </c:extLst>
            </c:dLbl>
            <c:dLbl>
              <c:idx val="2"/>
              <c:layout>
                <c:manualLayout>
                  <c:x val="-2.1483451536643026E-2"/>
                  <c:y val="-5.936171243900640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492-4751-92CD-A43269610FD1}"/>
                </c:ext>
              </c:extLst>
            </c:dLbl>
            <c:dLbl>
              <c:idx val="3"/>
              <c:layout>
                <c:manualLayout>
                  <c:x val="-3.2669414286554302E-2"/>
                  <c:y val="-3.243946106042472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2492-4751-92CD-A43269610FD1}"/>
                </c:ext>
              </c:extLst>
            </c:dLbl>
            <c:dLbl>
              <c:idx val="4"/>
              <c:layout>
                <c:manualLayout>
                  <c:x val="-3.9706130047787634E-2"/>
                  <c:y val="-2.252128600463498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492-4751-92CD-A43269610FD1}"/>
                </c:ext>
              </c:extLst>
            </c:dLbl>
            <c:dLbl>
              <c:idx val="6"/>
              <c:layout>
                <c:manualLayout>
                  <c:x val="-3.330378250591022E-2"/>
                  <c:y val="-4.640414846103422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2492-4751-92CD-A43269610FD1}"/>
                </c:ext>
              </c:extLst>
            </c:dLbl>
            <c:dLbl>
              <c:idx val="7"/>
              <c:layout>
                <c:manualLayout>
                  <c:x val="-2.6863437048151351E-2"/>
                  <c:y val="-4.228500696029410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492-4751-92CD-A43269610FD1}"/>
                </c:ext>
              </c:extLst>
            </c:dLbl>
            <c:dLbl>
              <c:idx val="8"/>
              <c:layout>
                <c:manualLayout>
                  <c:x val="-2.6665989561895396E-2"/>
                  <c:y val="-3.69986977514247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2492-4751-92CD-A43269610FD1}"/>
                </c:ext>
              </c:extLst>
            </c:dLbl>
            <c:dLbl>
              <c:idx val="9"/>
              <c:layout>
                <c:manualLayout>
                  <c:x val="-3.113416831042759E-2"/>
                  <c:y val="2.58626176563039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492-4751-92CD-A43269610FD1}"/>
                </c:ext>
              </c:extLst>
            </c:dLbl>
            <c:dLbl>
              <c:idx val="10"/>
              <c:layout>
                <c:manualLayout>
                  <c:x val="-7.4579773273021725E-3"/>
                  <c:y val="-6.007437845779481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2492-4751-92CD-A43269610FD1}"/>
                </c:ext>
              </c:extLst>
            </c:dLbl>
            <c:dLbl>
              <c:idx val="11"/>
              <c:layout>
                <c:manualLayout>
                  <c:x val="-4.9129653090716083E-2"/>
                  <c:y val="-0.23066707536836845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2492-4751-92CD-A43269610FD1}"/>
                </c:ext>
              </c:extLst>
            </c:dLbl>
            <c:dLbl>
              <c:idx val="12"/>
              <c:layout>
                <c:manualLayout>
                  <c:x val="-1.6452042272720149E-2"/>
                  <c:y val="-8.851619805892724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2492-4751-92CD-A43269610FD1}"/>
                </c:ext>
              </c:extLst>
            </c:dLbl>
            <c:dLbl>
              <c:idx val="13"/>
              <c:layout>
                <c:manualLayout>
                  <c:x val="-2.4505668970604744E-2"/>
                  <c:y val="-3.597447046121467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2492-4751-92CD-A43269610FD1}"/>
                </c:ext>
              </c:extLst>
            </c:dLbl>
            <c:dLbl>
              <c:idx val="14"/>
              <c:layout>
                <c:manualLayout>
                  <c:x val="-2.2662551597708341E-2"/>
                  <c:y val="3.338324960805637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2492-4751-92CD-A43269610FD1}"/>
                </c:ext>
              </c:extLst>
            </c:dLbl>
            <c:dLbl>
              <c:idx val="15"/>
              <c:layout>
                <c:manualLayout>
                  <c:x val="-1.3393231292006312E-4"/>
                  <c:y val="4.2667676706541115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2492-4751-92CD-A43269610FD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Gr3v2!$D$2:$D$17</c:f>
              <c:numCache>
                <c:formatCode>General</c:formatCode>
                <c:ptCount val="16"/>
                <c:pt idx="0">
                  <c:v>2009</c:v>
                </c:pt>
                <c:pt idx="1">
                  <c:v>2010</c:v>
                </c:pt>
                <c:pt idx="2">
                  <c:v>2011</c:v>
                </c:pt>
                <c:pt idx="3">
                  <c:v>2012</c:v>
                </c:pt>
                <c:pt idx="4">
                  <c:v>2013</c:v>
                </c:pt>
                <c:pt idx="5">
                  <c:v>2014</c:v>
                </c:pt>
                <c:pt idx="6">
                  <c:v>2015</c:v>
                </c:pt>
                <c:pt idx="7">
                  <c:v>2016</c:v>
                </c:pt>
                <c:pt idx="8">
                  <c:v>2017</c:v>
                </c:pt>
                <c:pt idx="9">
                  <c:v>2018</c:v>
                </c:pt>
                <c:pt idx="10">
                  <c:v>2019</c:v>
                </c:pt>
                <c:pt idx="11">
                  <c:v>2020</c:v>
                </c:pt>
                <c:pt idx="12">
                  <c:v>2021</c:v>
                </c:pt>
                <c:pt idx="13">
                  <c:v>2022</c:v>
                </c:pt>
                <c:pt idx="14">
                  <c:v>2023</c:v>
                </c:pt>
                <c:pt idx="15">
                  <c:v>2024</c:v>
                </c:pt>
              </c:numCache>
            </c:numRef>
          </c:cat>
          <c:val>
            <c:numRef>
              <c:f>Gr3v2!$F$2:$F$17</c:f>
              <c:numCache>
                <c:formatCode>_-* #,##0.0_-;\-* #,##0.0_-;_-* "-"??_-;_-@_-</c:formatCode>
                <c:ptCount val="16"/>
                <c:pt idx="0">
                  <c:v>-5.3133650536752342</c:v>
                </c:pt>
                <c:pt idx="1">
                  <c:v>-0.1865843409832646</c:v>
                </c:pt>
                <c:pt idx="2">
                  <c:v>4.7436926179028838</c:v>
                </c:pt>
                <c:pt idx="3">
                  <c:v>0.96068180745270126</c:v>
                </c:pt>
                <c:pt idx="4">
                  <c:v>-1.6841291847577322</c:v>
                </c:pt>
                <c:pt idx="5">
                  <c:v>5.4615433135362768</c:v>
                </c:pt>
                <c:pt idx="6">
                  <c:v>7.6682734905121563</c:v>
                </c:pt>
                <c:pt idx="7">
                  <c:v>-0.94662473672377789</c:v>
                </c:pt>
                <c:pt idx="8">
                  <c:v>1.9657679498789493</c:v>
                </c:pt>
                <c:pt idx="9">
                  <c:v>0.29564107585358101</c:v>
                </c:pt>
                <c:pt idx="10">
                  <c:v>0.37763113855653341</c:v>
                </c:pt>
                <c:pt idx="11">
                  <c:v>-20.290239004123258</c:v>
                </c:pt>
                <c:pt idx="12">
                  <c:v>9.0378939824590674</c:v>
                </c:pt>
                <c:pt idx="13">
                  <c:v>9.2679526848666871</c:v>
                </c:pt>
                <c:pt idx="14">
                  <c:v>2.4569251491391997</c:v>
                </c:pt>
                <c:pt idx="15">
                  <c:v>1.1876857065427293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E-2492-4751-92CD-A43269610FD1}"/>
            </c:ext>
          </c:extLst>
        </c:ser>
        <c:ser>
          <c:idx val="0"/>
          <c:order val="1"/>
          <c:tx>
            <c:strRef>
              <c:f>Gr3v2!$E$1</c:f>
              <c:strCache>
                <c:ptCount val="1"/>
                <c:pt idx="0">
                  <c:v>Total de la economía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4.7404105036768569E-2"/>
                  <c:y val="-5.124338381580308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2492-4751-92CD-A43269610FD1}"/>
                </c:ext>
              </c:extLst>
            </c:dLbl>
            <c:dLbl>
              <c:idx val="2"/>
              <c:layout>
                <c:manualLayout>
                  <c:x val="-2.1483451536643026E-2"/>
                  <c:y val="-4.964353945552724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2492-4751-92CD-A43269610FD1}"/>
                </c:ext>
              </c:extLst>
            </c:dLbl>
            <c:dLbl>
              <c:idx val="4"/>
              <c:layout>
                <c:manualLayout>
                  <c:x val="-4.0812490088433448E-2"/>
                  <c:y val="-6.49765419540757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2492-4751-92CD-A43269610FD1}"/>
                </c:ext>
              </c:extLst>
            </c:dLbl>
            <c:dLbl>
              <c:idx val="5"/>
              <c:layout>
                <c:manualLayout>
                  <c:x val="-2.1483451536643081E-2"/>
                  <c:y val="-4.316475746654117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2492-4751-92CD-A43269610FD1}"/>
                </c:ext>
              </c:extLst>
            </c:dLbl>
            <c:dLbl>
              <c:idx val="6"/>
              <c:layout>
                <c:manualLayout>
                  <c:x val="-3.1826241134751881E-2"/>
                  <c:y val="-4.64041484610342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3-2492-4751-92CD-A43269610FD1}"/>
                </c:ext>
              </c:extLst>
            </c:dLbl>
            <c:dLbl>
              <c:idx val="7"/>
              <c:layout>
                <c:manualLayout>
                  <c:x val="-2.4461835345938172E-2"/>
                  <c:y val="-3.409314103527785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4-2492-4751-92CD-A43269610FD1}"/>
                </c:ext>
              </c:extLst>
            </c:dLbl>
            <c:dLbl>
              <c:idx val="8"/>
              <c:layout>
                <c:manualLayout>
                  <c:x val="-2.8143503446997842E-2"/>
                  <c:y val="2.514999287375212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5-2492-4751-92CD-A43269610FD1}"/>
                </c:ext>
              </c:extLst>
            </c:dLbl>
            <c:dLbl>
              <c:idx val="9"/>
              <c:layout>
                <c:manualLayout>
                  <c:x val="-3.0348699763593379E-2"/>
                  <c:y val="-4.640414846103423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6-2492-4751-92CD-A43269610FD1}"/>
                </c:ext>
              </c:extLst>
            </c:dLbl>
            <c:dLbl>
              <c:idx val="10"/>
              <c:layout>
                <c:manualLayout>
                  <c:x val="-9.7629418663093721E-3"/>
                  <c:y val="-5.035620547431571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7-2492-4751-92CD-A43269610FD1}"/>
                </c:ext>
              </c:extLst>
            </c:dLbl>
            <c:dLbl>
              <c:idx val="11"/>
              <c:layout>
                <c:manualLayout>
                  <c:x val="-4.3064754380244222E-2"/>
                  <c:y val="-9.08360357757165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8-2492-4751-92CD-A43269610FD1}"/>
                </c:ext>
              </c:extLst>
            </c:dLbl>
            <c:dLbl>
              <c:idx val="12"/>
              <c:layout>
                <c:manualLayout>
                  <c:x val="-1.8714997692498212E-2"/>
                  <c:y val="-5.612242308045240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9-2492-4751-92CD-A43269610FD1}"/>
                </c:ext>
              </c:extLst>
            </c:dLbl>
            <c:dLbl>
              <c:idx val="13"/>
              <c:layout>
                <c:manualLayout>
                  <c:x val="-2.2208501941330821E-2"/>
                  <c:y val="-3.992534035154854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A-2492-4751-92CD-A43269610FD1}"/>
                </c:ext>
              </c:extLst>
            </c:dLbl>
            <c:dLbl>
              <c:idx val="14"/>
              <c:layout>
                <c:manualLayout>
                  <c:x val="-1.3680248454639018E-2"/>
                  <c:y val="-3.599576934603604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B-2492-4751-92CD-A43269610FD1}"/>
                </c:ext>
              </c:extLst>
            </c:dLbl>
            <c:dLbl>
              <c:idx val="15"/>
              <c:layout>
                <c:manualLayout>
                  <c:x val="-2.988348452370134E-3"/>
                  <c:y val="-3.280455923669099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C-2492-4751-92CD-A43269610FD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Gr3v2!$D$2:$D$17</c:f>
              <c:numCache>
                <c:formatCode>General</c:formatCode>
                <c:ptCount val="16"/>
                <c:pt idx="0">
                  <c:v>2009</c:v>
                </c:pt>
                <c:pt idx="1">
                  <c:v>2010</c:v>
                </c:pt>
                <c:pt idx="2">
                  <c:v>2011</c:v>
                </c:pt>
                <c:pt idx="3">
                  <c:v>2012</c:v>
                </c:pt>
                <c:pt idx="4">
                  <c:v>2013</c:v>
                </c:pt>
                <c:pt idx="5">
                  <c:v>2014</c:v>
                </c:pt>
                <c:pt idx="6">
                  <c:v>2015</c:v>
                </c:pt>
                <c:pt idx="7">
                  <c:v>2016</c:v>
                </c:pt>
                <c:pt idx="8">
                  <c:v>2017</c:v>
                </c:pt>
                <c:pt idx="9">
                  <c:v>2018</c:v>
                </c:pt>
                <c:pt idx="10">
                  <c:v>2019</c:v>
                </c:pt>
                <c:pt idx="11">
                  <c:v>2020</c:v>
                </c:pt>
                <c:pt idx="12">
                  <c:v>2021</c:v>
                </c:pt>
                <c:pt idx="13">
                  <c:v>2022</c:v>
                </c:pt>
                <c:pt idx="14">
                  <c:v>2023</c:v>
                </c:pt>
                <c:pt idx="15">
                  <c:v>2024</c:v>
                </c:pt>
              </c:numCache>
            </c:numRef>
          </c:cat>
          <c:val>
            <c:numRef>
              <c:f>Gr3v2!$E$2:$E$17</c:f>
              <c:numCache>
                <c:formatCode>_-* #,##0.0_-;\-* #,##0.0_-;_-* "-"??_-;_-@_-</c:formatCode>
                <c:ptCount val="16"/>
                <c:pt idx="0">
                  <c:v>-5.9092961044039267</c:v>
                </c:pt>
                <c:pt idx="1">
                  <c:v>5.314405894844354</c:v>
                </c:pt>
                <c:pt idx="2">
                  <c:v>3.6072020826196205</c:v>
                </c:pt>
                <c:pt idx="3">
                  <c:v>3.6780839239410446</c:v>
                </c:pt>
                <c:pt idx="4">
                  <c:v>0.94822974228245815</c:v>
                </c:pt>
                <c:pt idx="5">
                  <c:v>2.5062791673645668</c:v>
                </c:pt>
                <c:pt idx="6">
                  <c:v>2.5564584848691618</c:v>
                </c:pt>
                <c:pt idx="7">
                  <c:v>1.745722863231447</c:v>
                </c:pt>
                <c:pt idx="8">
                  <c:v>1.8674236592238103</c:v>
                </c:pt>
                <c:pt idx="9">
                  <c:v>1.9479001276637486</c:v>
                </c:pt>
                <c:pt idx="10">
                  <c:v>-0.43811378391945821</c:v>
                </c:pt>
                <c:pt idx="11">
                  <c:v>-8.038196152772592</c:v>
                </c:pt>
                <c:pt idx="12">
                  <c:v>5.7620404625337018</c:v>
                </c:pt>
                <c:pt idx="13">
                  <c:v>3.5668787347714392</c:v>
                </c:pt>
                <c:pt idx="14">
                  <c:v>3.045375020822938</c:v>
                </c:pt>
                <c:pt idx="15">
                  <c:v>1.3417463088411408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1D-2492-4751-92CD-A43269610F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05435296"/>
        <c:axId val="1705429888"/>
      </c:lineChart>
      <c:catAx>
        <c:axId val="17054352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05429888"/>
        <c:crosses val="autoZero"/>
        <c:auto val="1"/>
        <c:lblAlgn val="ctr"/>
        <c:lblOffset val="100"/>
        <c:noMultiLvlLbl val="0"/>
      </c:catAx>
      <c:valAx>
        <c:axId val="1705429888"/>
        <c:scaling>
          <c:orientation val="minMax"/>
        </c:scaling>
        <c:delete val="1"/>
        <c:axPos val="l"/>
        <c:numFmt formatCode="_-* #,##0.0_-;\-* #,##0.0_-;_-* &quot;-&quot;??_-;_-@_-" sourceLinked="1"/>
        <c:majorTickMark val="out"/>
        <c:minorTickMark val="none"/>
        <c:tickLblPos val="nextTo"/>
        <c:crossAx val="17054352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5511664560582403"/>
          <c:y val="0.90709364280122062"/>
          <c:w val="0.48216421418067423"/>
          <c:h val="8.206882302977433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6025838605447075"/>
          <c:y val="2.948073390778207E-2"/>
          <c:w val="0.59891582244901265"/>
          <c:h val="0.94103853218443589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Gr2v2!$C$22:$C$31</c:f>
              <c:strCache>
                <c:ptCount val="10"/>
                <c:pt idx="0">
                  <c:v>Artesanías</c:v>
                </c:pt>
                <c:pt idx="1">
                  <c:v>Contenidos digitales e internet</c:v>
                </c:pt>
                <c:pt idx="2">
                  <c:v>Medios audiovisuales</c:v>
                </c:pt>
                <c:pt idx="3">
                  <c:v>Diseño y servicios creativos</c:v>
                </c:pt>
                <c:pt idx="4">
                  <c:v>Artes escénicas y espectáculos</c:v>
                </c:pt>
                <c:pt idx="5">
                  <c:v>Patrimonio cultural y natural</c:v>
                </c:pt>
                <c:pt idx="6">
                  <c:v>Libros, impresiones y prensa</c:v>
                </c:pt>
                <c:pt idx="7">
                  <c:v>Formación y difusión cultural</c:v>
                </c:pt>
                <c:pt idx="8">
                  <c:v>Artes visuales y plásticas</c:v>
                </c:pt>
                <c:pt idx="9">
                  <c:v>Música y conciertos</c:v>
                </c:pt>
              </c:strCache>
            </c:strRef>
          </c:cat>
          <c:val>
            <c:numRef>
              <c:f>Gr2v2!$D$22:$D$31</c:f>
              <c:numCache>
                <c:formatCode>_-* #,##0.0_-;\-* #,##0.0_-;_-* "-"??_-;_-@_-</c:formatCode>
                <c:ptCount val="10"/>
                <c:pt idx="0">
                  <c:v>18.399999999999999</c:v>
                </c:pt>
                <c:pt idx="1">
                  <c:v>18.100000000000001</c:v>
                </c:pt>
                <c:pt idx="2">
                  <c:v>17.2</c:v>
                </c:pt>
                <c:pt idx="3">
                  <c:v>14.5</c:v>
                </c:pt>
                <c:pt idx="4">
                  <c:v>7</c:v>
                </c:pt>
                <c:pt idx="5">
                  <c:v>6.1</c:v>
                </c:pt>
                <c:pt idx="6">
                  <c:v>5.8</c:v>
                </c:pt>
                <c:pt idx="7">
                  <c:v>5.6</c:v>
                </c:pt>
                <c:pt idx="8">
                  <c:v>4.5</c:v>
                </c:pt>
                <c:pt idx="9">
                  <c:v>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38-459C-8022-529612FEA7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748792696"/>
        <c:axId val="748795216"/>
      </c:barChart>
      <c:catAx>
        <c:axId val="7487926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748795216"/>
        <c:crosses val="autoZero"/>
        <c:auto val="1"/>
        <c:lblAlgn val="ctr"/>
        <c:lblOffset val="100"/>
        <c:noMultiLvlLbl val="0"/>
      </c:catAx>
      <c:valAx>
        <c:axId val="748795216"/>
        <c:scaling>
          <c:orientation val="minMax"/>
          <c:max val="20"/>
        </c:scaling>
        <c:delete val="1"/>
        <c:axPos val="b"/>
        <c:numFmt formatCode="_-* #,##0.0_-;\-* #,##0.0_-;_-* &quot;-&quot;??_-;_-@_-" sourceLinked="1"/>
        <c:majorTickMark val="none"/>
        <c:minorTickMark val="none"/>
        <c:tickLblPos val="nextTo"/>
        <c:crossAx val="7487926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INEGI 2023">
      <a:dk1>
        <a:srgbClr val="000000"/>
      </a:dk1>
      <a:lt1>
        <a:srgbClr val="FFFFFF"/>
      </a:lt1>
      <a:dk2>
        <a:srgbClr val="003057"/>
      </a:dk2>
      <a:lt2>
        <a:srgbClr val="8B8B8B"/>
      </a:lt2>
      <a:accent1>
        <a:srgbClr val="205F8D"/>
      </a:accent1>
      <a:accent2>
        <a:srgbClr val="07BFBA"/>
      </a:accent2>
      <a:accent3>
        <a:srgbClr val="008A80"/>
      </a:accent3>
      <a:accent4>
        <a:srgbClr val="005F54"/>
      </a:accent4>
      <a:accent5>
        <a:srgbClr val="B26EDB"/>
      </a:accent5>
      <a:accent6>
        <a:srgbClr val="680E80"/>
      </a:accent6>
      <a:hlink>
        <a:srgbClr val="00A1E2"/>
      </a:hlink>
      <a:folHlink>
        <a:srgbClr val="0074C5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83C27-AF06-4154-A58B-6CE88CEE9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707</Words>
  <Characters>3673</Characters>
  <Application>Microsoft Office Word</Application>
  <DocSecurity>0</DocSecurity>
  <Lines>114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Cuenta Satélite de Cultura de México 2024</vt:lpstr>
    </vt:vector>
  </TitlesOfParts>
  <Manager>INEGI</Manager>
  <Company>INEGI</Company>
  <LinksUpToDate>false</LinksUpToDate>
  <CharactersWithSpaces>4343</CharactersWithSpaces>
  <SharedDoc>false</SharedDoc>
  <HLinks>
    <vt:vector size="24" baseType="variant">
      <vt:variant>
        <vt:i4>2490430</vt:i4>
      </vt:variant>
      <vt:variant>
        <vt:i4>6</vt:i4>
      </vt:variant>
      <vt:variant>
        <vt:i4>0</vt:i4>
      </vt:variant>
      <vt:variant>
        <vt:i4>5</vt:i4>
      </vt:variant>
      <vt:variant>
        <vt:lpwstr>https://www.inegi.org.mx/contenidos/productos/prod_serv/contenidos/espanol/bvinegi/productos/nueva_estruc/889463901204.pdf</vt:lpwstr>
      </vt:variant>
      <vt:variant>
        <vt:lpwstr/>
      </vt:variant>
      <vt:variant>
        <vt:i4>1638413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https://www.inegi.org.mx/programas/enigh/nc/2022/default.html</vt:lpwstr>
      </vt:variant>
      <vt:variant>
        <vt:lpwstr/>
      </vt:variant>
      <vt:variant>
        <vt:i4>1638413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https://www.inegi.org.mx/programas/enigh/nc/2022/default.html</vt:lpwstr>
      </vt:variant>
      <vt:variant>
        <vt:lpwstr/>
      </vt:variant>
      <vt:variant>
        <vt:i4>6422634</vt:i4>
      </vt:variant>
      <vt:variant>
        <vt:i4>0</vt:i4>
      </vt:variant>
      <vt:variant>
        <vt:i4>0</vt:i4>
      </vt:variant>
      <vt:variant>
        <vt:i4>5</vt:i4>
      </vt:variant>
      <vt:variant>
        <vt:lpwstr>https://www.coneval.org.mx/coordinacion/entidades/DistritoFederal/Paginas/desigualdad.aspx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Cuenta Satélite de Cultura de México 2024</dc:title>
  <dc:subject>Cuenta Satélite de Cultura de México 2024</dc:subject>
  <dc:creator>INEGI</dc:creator>
  <cp:keywords>Cuenta Satélite de Cultura de México 2024</cp:keywords>
  <dc:description>Cuenta Satélite de Cultura de México 2024</dc:description>
  <cp:lastModifiedBy>GUILLEN MEDINA MOISES</cp:lastModifiedBy>
  <cp:revision>5</cp:revision>
  <cp:lastPrinted>2024-02-26T19:07:00Z</cp:lastPrinted>
  <dcterms:created xsi:type="dcterms:W3CDTF">2025-11-13T19:32:00Z</dcterms:created>
  <dcterms:modified xsi:type="dcterms:W3CDTF">2025-11-18T18:14:00Z</dcterms:modified>
  <cp:category/>
</cp:coreProperties>
</file>